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hAnsi="Century Gothic"/>
          <w:sz w:val="36"/>
          <w:szCs w:val="36"/>
          <w:lang w:val="en-GB"/>
        </w:rPr>
      </w:pPr>
      <w:r>
        <w:rPr>
          <w:rFonts w:ascii="Century Gothic" w:hAnsi="Century Gothic"/>
          <w:noProof/>
          <w:sz w:val="20"/>
          <w:szCs w:val="20"/>
          <w:lang w:val="en-GB" w:eastAsia="en-GB"/>
        </w:rPr>
        <w:drawing>
          <wp:anchor distT="0" distB="0" distL="114300" distR="114300" simplePos="0" relativeHeight="251658240" behindDoc="0" locked="0" layoutInCell="1" allowOverlap="1">
            <wp:simplePos x="0" y="0"/>
            <wp:positionH relativeFrom="column">
              <wp:posOffset>4286885</wp:posOffset>
            </wp:positionH>
            <wp:positionV relativeFrom="paragraph">
              <wp:posOffset>-405471</wp:posOffset>
            </wp:positionV>
            <wp:extent cx="1798522" cy="82215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Education–Trust_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522" cy="822154"/>
                    </a:xfrm>
                    <a:prstGeom prst="rect">
                      <a:avLst/>
                    </a:prstGeom>
                  </pic:spPr>
                </pic:pic>
              </a:graphicData>
            </a:graphic>
            <wp14:sizeRelH relativeFrom="page">
              <wp14:pctWidth>0</wp14:pctWidth>
            </wp14:sizeRelH>
            <wp14:sizeRelV relativeFrom="page">
              <wp14:pctHeight>0</wp14:pctHeight>
            </wp14:sizeRelV>
          </wp:anchor>
        </w:drawing>
      </w:r>
    </w:p>
    <w:p>
      <w:pPr>
        <w:rPr>
          <w:rFonts w:ascii="Century Gothic" w:hAnsi="Century Gothic"/>
          <w:sz w:val="24"/>
          <w:szCs w:val="20"/>
          <w:lang w:val="en-GB"/>
        </w:rPr>
      </w:pPr>
      <w:r>
        <w:rPr>
          <w:rFonts w:ascii="Century Gothic" w:hAnsi="Century Gothic"/>
          <w:sz w:val="24"/>
          <w:szCs w:val="20"/>
          <w:lang w:val="en-GB"/>
        </w:rPr>
        <w:t>Complaints and appeals</w:t>
      </w:r>
    </w:p>
    <w:p>
      <w:pPr>
        <w:spacing w:before="240" w:after="240" w:line="276" w:lineRule="auto"/>
        <w:rPr>
          <w:rFonts w:ascii="Century Gothic" w:eastAsia="Times New Roman" w:hAnsi="Century Gothic" w:cs="Arial"/>
          <w:sz w:val="24"/>
          <w:szCs w:val="20"/>
        </w:rPr>
      </w:pPr>
      <w:bookmarkStart w:id="0" w:name="_Hlk496707194"/>
      <w:r>
        <w:rPr>
          <w:rFonts w:ascii="Century Gothic" w:hAnsi="Century Gothic" w:cs="Arial"/>
          <w:noProof/>
          <w:sz w:val="24"/>
          <w:szCs w:val="20"/>
        </w:rPr>
        <w:t>Purpose of the procedure</w:t>
      </w:r>
    </w:p>
    <w:p>
      <w:pPr>
        <w:autoSpaceDE w:val="0"/>
        <w:autoSpaceDN w:val="0"/>
        <w:adjustRightInd w:val="0"/>
        <w:spacing w:line="276" w:lineRule="auto"/>
        <w:rPr>
          <w:rFonts w:ascii="Century Gothic" w:hAnsi="Century Gothic" w:cs="Arial"/>
          <w:i/>
          <w:color w:val="000000"/>
          <w:sz w:val="20"/>
          <w:szCs w:val="20"/>
        </w:rPr>
      </w:pPr>
      <w:r>
        <w:rPr>
          <w:rFonts w:ascii="Century Gothic" w:hAnsi="Century Gothic" w:cs="Arial"/>
          <w:noProof/>
          <w:sz w:val="20"/>
          <w:szCs w:val="20"/>
        </w:rPr>
        <w:t xml:space="preserve">This procedure confirms Nova Education trusts </w:t>
      </w:r>
      <w:r>
        <w:rPr>
          <w:rFonts w:ascii="Century Gothic" w:hAnsi="Century Gothic" w:cs="Arial"/>
          <w:sz w:val="20"/>
          <w:szCs w:val="20"/>
        </w:rPr>
        <w:t xml:space="preserve">compliance with JCQ’s </w:t>
      </w:r>
      <w:r>
        <w:rPr>
          <w:rFonts w:ascii="Century Gothic" w:hAnsi="Century Gothic" w:cs="Arial"/>
          <w:i/>
          <w:sz w:val="20"/>
          <w:szCs w:val="20"/>
        </w:rPr>
        <w:t xml:space="preserve">General Regulations for Approved Centres 2017-2018, section 5.7 </w:t>
      </w:r>
      <w:r>
        <w:rPr>
          <w:rFonts w:ascii="Century Gothic" w:hAnsi="Century Gothic" w:cs="Arial"/>
          <w:sz w:val="20"/>
          <w:szCs w:val="20"/>
        </w:rPr>
        <w:t xml:space="preserve">that the centre has in place </w:t>
      </w:r>
      <w:r>
        <w:rPr>
          <w:rFonts w:ascii="Century Gothic" w:hAnsi="Century Gothic" w:cs="Arial"/>
          <w:bCs/>
          <w:i/>
          <w:color w:val="000000"/>
          <w:sz w:val="20"/>
          <w:szCs w:val="20"/>
        </w:rPr>
        <w:t xml:space="preserve">“…a written </w:t>
      </w:r>
      <w:r>
        <w:rPr>
          <w:rFonts w:ascii="Century Gothic" w:hAnsi="Century Gothic" w:cs="Arial"/>
          <w:i/>
          <w:color w:val="000000"/>
          <w:sz w:val="20"/>
          <w:szCs w:val="20"/>
        </w:rPr>
        <w:t>complaints and appeals procedure which will cover general complaints regarding the centre’s delivery or administration of a qualification.”</w:t>
      </w:r>
    </w:p>
    <w:p>
      <w:pPr>
        <w:pStyle w:val="Headinglevel1"/>
        <w:spacing w:before="240"/>
        <w:rPr>
          <w:rFonts w:ascii="Century Gothic" w:hAnsi="Century Gothic"/>
          <w:b w:val="0"/>
          <w:color w:val="auto"/>
          <w:sz w:val="24"/>
          <w:szCs w:val="20"/>
        </w:rPr>
      </w:pPr>
      <w:r>
        <w:rPr>
          <w:rFonts w:ascii="Century Gothic" w:hAnsi="Century Gothic"/>
          <w:b w:val="0"/>
          <w:color w:val="auto"/>
          <w:sz w:val="24"/>
          <w:szCs w:val="20"/>
        </w:rPr>
        <w:t>Grounds for complaint</w:t>
      </w:r>
    </w:p>
    <w:p>
      <w:pPr>
        <w:spacing w:line="276" w:lineRule="auto"/>
        <w:rPr>
          <w:rFonts w:ascii="Century Gothic" w:hAnsi="Century Gothic"/>
          <w:sz w:val="20"/>
          <w:szCs w:val="20"/>
        </w:rPr>
      </w:pPr>
      <w:r>
        <w:rPr>
          <w:rFonts w:ascii="Century Gothic" w:hAnsi="Century Gothic"/>
          <w:sz w:val="20"/>
          <w:szCs w:val="20"/>
        </w:rPr>
        <w:t>A candidate (or his/her/parent/carer) may make a complaint relating to teaching and learning, access arrangements, entries, conducting examinations, results, post-results and any other process relating to examinations. Examples of complaint criteria can be found in Appendix 1.</w:t>
      </w:r>
    </w:p>
    <w:p>
      <w:pPr>
        <w:pStyle w:val="Headinglevel1"/>
        <w:spacing w:before="240"/>
        <w:rPr>
          <w:rFonts w:ascii="Century Gothic" w:hAnsi="Century Gothic"/>
          <w:color w:val="auto"/>
          <w:sz w:val="20"/>
          <w:szCs w:val="20"/>
        </w:rPr>
      </w:pPr>
      <w:r>
        <w:rPr>
          <w:rFonts w:ascii="Century Gothic" w:hAnsi="Century Gothic"/>
          <w:color w:val="auto"/>
          <w:sz w:val="20"/>
          <w:szCs w:val="20"/>
        </w:rPr>
        <w:t>Complaints and appeals procedure</w:t>
      </w:r>
    </w:p>
    <w:p>
      <w:pPr>
        <w:spacing w:line="276" w:lineRule="auto"/>
        <w:rPr>
          <w:rFonts w:ascii="Century Gothic" w:eastAsia="Times New Roman" w:hAnsi="Century Gothic" w:cs="Times New Roman"/>
          <w:sz w:val="20"/>
          <w:szCs w:val="20"/>
        </w:rPr>
      </w:pPr>
      <w:bookmarkStart w:id="1" w:name="_Hlk496881101"/>
      <w:r>
        <w:rPr>
          <w:rFonts w:ascii="Century Gothic" w:hAnsi="Century Gothic" w:cs="Arial"/>
          <w:color w:val="000000"/>
          <w:sz w:val="20"/>
          <w:szCs w:val="20"/>
        </w:rPr>
        <w:t>If a candidate (or his/her parent/carer) has a general concern or complaint about the centre’s delivery or administration of a qualification he/she is following, Nova Education Trust</w:t>
      </w:r>
      <w:r>
        <w:rPr>
          <w:rFonts w:ascii="Century Gothic" w:hAnsi="Century Gothic" w:cs="Arial"/>
          <w:sz w:val="20"/>
          <w:szCs w:val="20"/>
          <w:lang w:val="en"/>
        </w:rPr>
        <w:t xml:space="preserve"> encourages him/her to try to resolve this informally in the first instance with the class teacher, examination officer or member of SLT. [Insert your centre’s process, for example - </w:t>
      </w:r>
      <w:r>
        <w:rPr>
          <w:rFonts w:ascii="Century Gothic" w:eastAsia="Times New Roman" w:hAnsi="Century Gothic" w:cs="Times New Roman"/>
          <w:sz w:val="20"/>
          <w:szCs w:val="20"/>
        </w:rPr>
        <w:t>A concern or complaint should be made in person, by telephone or in writing to the head of centre].</w:t>
      </w:r>
    </w:p>
    <w:p>
      <w:pPr>
        <w:spacing w:line="276" w:lineRule="auto"/>
        <w:rPr>
          <w:rFonts w:ascii="Century Gothic" w:hAnsi="Century Gothic" w:cs="Arial"/>
          <w:sz w:val="20"/>
          <w:szCs w:val="20"/>
          <w:lang w:val="en"/>
        </w:rPr>
      </w:pPr>
      <w:r>
        <w:rPr>
          <w:rFonts w:ascii="Century Gothic" w:hAnsi="Century Gothic" w:cs="Arial"/>
          <w:sz w:val="20"/>
          <w:szCs w:val="20"/>
          <w:lang w:val="en"/>
        </w:rPr>
        <w:t>If a complaint fails to be resolved informally the candidate (or his/her parent/carer) is then at liberty to make a formal complaint.</w:t>
      </w:r>
    </w:p>
    <w:p>
      <w:pPr>
        <w:spacing w:line="276" w:lineRule="auto"/>
        <w:rPr>
          <w:rFonts w:ascii="Century Gothic" w:hAnsi="Century Gothic" w:cs="Arial"/>
          <w:sz w:val="20"/>
          <w:szCs w:val="20"/>
          <w:lang w:val="en"/>
        </w:rPr>
      </w:pPr>
    </w:p>
    <w:p>
      <w:pPr>
        <w:spacing w:line="276" w:lineRule="auto"/>
        <w:rPr>
          <w:rFonts w:ascii="Century Gothic" w:hAnsi="Century Gothic"/>
          <w:b/>
          <w:sz w:val="20"/>
          <w:szCs w:val="20"/>
        </w:rPr>
      </w:pPr>
      <w:r>
        <w:rPr>
          <w:rFonts w:ascii="Century Gothic" w:hAnsi="Century Gothic" w:cs="Arial"/>
          <w:b/>
          <w:sz w:val="20"/>
          <w:szCs w:val="20"/>
          <w:lang w:val="en"/>
        </w:rPr>
        <w:t>How to make a formal complaint</w:t>
      </w:r>
    </w:p>
    <w:bookmarkEnd w:id="1"/>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A complaint should be submitted in writing by completing a </w:t>
      </w:r>
      <w:r>
        <w:rPr>
          <w:rFonts w:ascii="Century Gothic" w:hAnsi="Century Gothic" w:cs="Arial"/>
          <w:b/>
          <w:color w:val="000000"/>
          <w:sz w:val="20"/>
          <w:szCs w:val="20"/>
        </w:rPr>
        <w:t>complaints and appeals form</w:t>
      </w:r>
      <w:r>
        <w:rPr>
          <w:rFonts w:ascii="Century Gothic" w:hAnsi="Century Gothic" w:cs="Arial"/>
          <w:color w:val="000000"/>
          <w:sz w:val="20"/>
          <w:szCs w:val="20"/>
        </w:rPr>
        <w:t xml:space="preserve"> </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Completed forms should be returned to Rachel Dodds.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Forms received will be logged by the centre and acknowledged within </w:t>
      </w:r>
      <w:r>
        <w:rPr>
          <w:rFonts w:ascii="Century Gothic" w:hAnsi="Century Gothic" w:cs="Arial"/>
          <w:sz w:val="20"/>
          <w:szCs w:val="20"/>
        </w:rPr>
        <w:t>14 calendar days</w:t>
      </w:r>
    </w:p>
    <w:p>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How a formal complaint is investigated</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The head of centre will further investigate or appoint a member of the senior leadership team (who is not involved in the grounds for complaint and has no personal interest in the outcome) to investigate the complaint and report on the findings and conclusion</w:t>
      </w:r>
    </w:p>
    <w:p>
      <w:pPr>
        <w:autoSpaceDE w:val="0"/>
        <w:autoSpaceDN w:val="0"/>
        <w:adjustRightInd w:val="0"/>
        <w:spacing w:before="120" w:after="120" w:line="276" w:lineRule="auto"/>
        <w:rPr>
          <w:rFonts w:ascii="Century Gothic" w:hAnsi="Century Gothic" w:cs="Arial"/>
          <w:sz w:val="20"/>
          <w:szCs w:val="20"/>
        </w:rPr>
      </w:pPr>
      <w:r>
        <w:rPr>
          <w:rFonts w:ascii="Century Gothic" w:hAnsi="Century Gothic" w:cs="Arial"/>
          <w:color w:val="000000"/>
          <w:sz w:val="20"/>
          <w:szCs w:val="20"/>
        </w:rPr>
        <w:t xml:space="preserve">The findings and conclusion will be provided to the complainant within </w:t>
      </w:r>
      <w:r>
        <w:rPr>
          <w:rFonts w:ascii="Century Gothic" w:hAnsi="Century Gothic" w:cs="Arial"/>
          <w:sz w:val="20"/>
          <w:szCs w:val="20"/>
        </w:rPr>
        <w:t>6 working weeks</w:t>
      </w:r>
    </w:p>
    <w:p>
      <w:pPr>
        <w:autoSpaceDE w:val="0"/>
        <w:autoSpaceDN w:val="0"/>
        <w:adjustRightInd w:val="0"/>
        <w:spacing w:line="276" w:lineRule="auto"/>
        <w:rPr>
          <w:rFonts w:ascii="Century Gothic" w:hAnsi="Century Gothic"/>
          <w:b/>
          <w:sz w:val="20"/>
          <w:szCs w:val="20"/>
        </w:rPr>
      </w:pPr>
      <w:r>
        <w:rPr>
          <w:rFonts w:ascii="Century Gothic" w:hAnsi="Century Gothic"/>
          <w:b/>
          <w:sz w:val="20"/>
          <w:szCs w:val="20"/>
        </w:rPr>
        <w:t>Appeals</w:t>
      </w:r>
    </w:p>
    <w:p>
      <w:pPr>
        <w:autoSpaceDE w:val="0"/>
        <w:autoSpaceDN w:val="0"/>
        <w:adjustRightInd w:val="0"/>
        <w:spacing w:line="276" w:lineRule="auto"/>
        <w:rPr>
          <w:rFonts w:ascii="Century Gothic" w:hAnsi="Century Gothic"/>
          <w:sz w:val="20"/>
          <w:szCs w:val="20"/>
        </w:rPr>
      </w:pPr>
      <w:r>
        <w:rPr>
          <w:rFonts w:ascii="Century Gothic" w:hAnsi="Century Gothic"/>
          <w:sz w:val="20"/>
          <w:szCs w:val="20"/>
        </w:rPr>
        <w:t xml:space="preserve">Following the outcome, if the complainant remains dissatisfied and believes there are clear grounds, an appeal can be submitted. </w:t>
      </w:r>
    </w:p>
    <w:p>
      <w:pPr>
        <w:autoSpaceDE w:val="0"/>
        <w:autoSpaceDN w:val="0"/>
        <w:adjustRightInd w:val="0"/>
        <w:spacing w:before="120" w:after="120" w:line="276" w:lineRule="auto"/>
        <w:rPr>
          <w:rFonts w:ascii="Century Gothic" w:hAnsi="Century Gothic"/>
          <w:sz w:val="20"/>
          <w:szCs w:val="20"/>
        </w:rPr>
      </w:pPr>
      <w:r>
        <w:rPr>
          <w:rFonts w:ascii="Century Gothic" w:hAnsi="Century Gothic"/>
          <w:sz w:val="20"/>
          <w:szCs w:val="20"/>
        </w:rPr>
        <w:t>Any appeal must be submitted</w:t>
      </w:r>
      <w:r>
        <w:rPr>
          <w:rFonts w:ascii="Century Gothic" w:hAnsi="Century Gothic" w:cs="Arial"/>
          <w:color w:val="000000"/>
          <w:sz w:val="20"/>
          <w:szCs w:val="20"/>
        </w:rPr>
        <w:t xml:space="preserve"> in writing by again completing a </w:t>
      </w:r>
      <w:r>
        <w:rPr>
          <w:rFonts w:ascii="Century Gothic" w:hAnsi="Century Gothic" w:cs="Arial"/>
          <w:b/>
          <w:color w:val="000000"/>
          <w:sz w:val="20"/>
          <w:szCs w:val="20"/>
        </w:rPr>
        <w:t>complaints and appeals form</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Forms received will be logged by the centre and acknowledged within </w:t>
      </w:r>
      <w:r>
        <w:rPr>
          <w:rFonts w:ascii="Century Gothic" w:hAnsi="Century Gothic" w:cs="Arial"/>
          <w:sz w:val="20"/>
          <w:szCs w:val="20"/>
        </w:rPr>
        <w:t>14 calendar days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sz w:val="20"/>
          <w:szCs w:val="20"/>
        </w:rPr>
        <w:t>The appeal will be referred to Chair of Governors (or a special Committee of the Governing body) for consideration]</w:t>
      </w:r>
    </w:p>
    <w:p>
      <w:pPr>
        <w:rPr>
          <w:rFonts w:ascii="Century Gothic" w:hAnsi="Century Gothic" w:cs="Arial"/>
          <w:sz w:val="20"/>
          <w:szCs w:val="20"/>
        </w:rPr>
      </w:pPr>
      <w:r>
        <w:rPr>
          <w:rFonts w:ascii="Century Gothic" w:hAnsi="Century Gothic" w:cs="Arial"/>
          <w:sz w:val="20"/>
          <w:szCs w:val="20"/>
        </w:rPr>
        <w:t xml:space="preserve">The [Chair of Governors (or Committee)] will inform the appellant of the final </w:t>
      </w:r>
      <w:bookmarkEnd w:id="0"/>
      <w:r>
        <w:rPr>
          <w:rFonts w:ascii="Century Gothic" w:hAnsi="Century Gothic" w:cs="Arial"/>
          <w:sz w:val="20"/>
          <w:szCs w:val="20"/>
        </w:rPr>
        <w:t>conclusion in due course]</w:t>
      </w:r>
    </w:p>
    <w:p>
      <w:pPr>
        <w:ind w:left="360"/>
        <w:rPr>
          <w:rFonts w:ascii="Century Gothic" w:hAnsi="Century Gothic" w:cs="Arial"/>
          <w:sz w:val="20"/>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p>
    <w:p>
      <w:pPr>
        <w:rPr>
          <w:rFonts w:ascii="Century Gothic" w:hAnsi="Century Gothic" w:cs="Arial"/>
          <w:sz w:val="24"/>
          <w:szCs w:val="20"/>
        </w:rPr>
      </w:pPr>
      <w:r>
        <w:rPr>
          <w:rFonts w:ascii="Century Gothic" w:hAnsi="Century Gothic" w:cs="Arial"/>
          <w:sz w:val="24"/>
          <w:szCs w:val="20"/>
        </w:rPr>
        <w:lastRenderedPageBreak/>
        <w:t>Appendix 1</w:t>
      </w:r>
    </w:p>
    <w:p>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Teaching and learning</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Quality of teaching and learning, for example</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Pre-release/advance material/set task issued by the awarding body not provided on time to an exam candidate </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The taking of an assessment, which contributes to the final grade of the qualification, not conducted according to the JCQ/awarding body instructions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The marking of an internal assessment, which contributes to the final grade of the qualification, not undertaken according to the requirements of the awarding body (complainant should refer to the centre’s </w:t>
      </w:r>
      <w:r>
        <w:rPr>
          <w:rFonts w:ascii="Century Gothic" w:hAnsi="Century Gothic" w:cs="Arial"/>
          <w:i/>
          <w:color w:val="000000"/>
          <w:sz w:val="20"/>
          <w:szCs w:val="20"/>
        </w:rPr>
        <w:t>internal appeals procedure</w:t>
      </w:r>
      <w:r>
        <w:rPr>
          <w:rFonts w:ascii="Century Gothic" w:hAnsi="Century Gothic" w:cs="Arial"/>
          <w:color w:val="000000"/>
          <w:sz w:val="20"/>
          <w:szCs w:val="20"/>
        </w:rPr>
        <w:t>)</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Centre fails to adhere to its </w:t>
      </w:r>
      <w:r>
        <w:rPr>
          <w:rFonts w:ascii="Century Gothic" w:hAnsi="Century Gothic" w:cs="Arial"/>
          <w:i/>
          <w:color w:val="000000"/>
          <w:sz w:val="20"/>
          <w:szCs w:val="20"/>
        </w:rPr>
        <w:t>internal appeals procedure</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Candidate not </w:t>
      </w:r>
      <w:r>
        <w:rPr>
          <w:rFonts w:ascii="Century Gothic" w:hAnsi="Century Gothic" w:cs="Arial"/>
          <w:sz w:val="20"/>
          <w:szCs w:val="20"/>
        </w:rPr>
        <w:t>informed of his/her centre assessed marks prior to marks being submitted to the awarding body</w:t>
      </w:r>
    </w:p>
    <w:p>
      <w:pPr>
        <w:autoSpaceDE w:val="0"/>
        <w:autoSpaceDN w:val="0"/>
        <w:adjustRightInd w:val="0"/>
        <w:spacing w:before="120" w:after="120" w:line="276" w:lineRule="auto"/>
        <w:rPr>
          <w:rFonts w:ascii="Century Gothic" w:hAnsi="Century Gothic" w:cs="Arial"/>
          <w:b/>
          <w:i/>
          <w:color w:val="000000"/>
          <w:sz w:val="20"/>
          <w:szCs w:val="20"/>
        </w:rPr>
      </w:pPr>
      <w:r>
        <w:rPr>
          <w:rFonts w:ascii="Century Gothic" w:hAnsi="Century Gothic" w:cs="Arial"/>
          <w:sz w:val="20"/>
          <w:szCs w:val="20"/>
        </w:rPr>
        <w:t>Candidate not informed of his/her centre assessed marks in sufficient time to request/appeal a review of marking prior to marks being submitted to the awarding body</w:t>
      </w:r>
    </w:p>
    <w:p>
      <w:pPr>
        <w:autoSpaceDE w:val="0"/>
        <w:autoSpaceDN w:val="0"/>
        <w:adjustRightInd w:val="0"/>
        <w:spacing w:before="120" w:after="120" w:line="276" w:lineRule="auto"/>
        <w:rPr>
          <w:rFonts w:ascii="Century Gothic" w:hAnsi="Century Gothic" w:cs="Arial"/>
          <w:b/>
          <w:i/>
          <w:color w:val="000000"/>
          <w:sz w:val="20"/>
          <w:szCs w:val="20"/>
        </w:rPr>
      </w:pPr>
      <w:r>
        <w:rPr>
          <w:rFonts w:ascii="Century Gothic" w:hAnsi="Century Gothic" w:cs="Arial"/>
          <w:sz w:val="20"/>
          <w:szCs w:val="20"/>
        </w:rPr>
        <w:t xml:space="preserve">Candidate not given sufficient time to review materials to make a decision whether to request a review of centre assessed marks </w:t>
      </w:r>
    </w:p>
    <w:p>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Access arrangements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assessed by the centre’s appointed assessor</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involved in decisions made regarding his/her access arrangements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did not consent to personal data being shared electronically (by the non-acquisition of a signed Data Protection Notice)</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informed/adequately informed of the arrangements in place and the subjects or components of subjects where the arrangements would not apply</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Exam information not appropriately adapted for a disabled candidate to access it</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Adapted equipment put in place failed during exam/assessment</w:t>
      </w:r>
    </w:p>
    <w:p>
      <w:pPr>
        <w:autoSpaceDE w:val="0"/>
        <w:autoSpaceDN w:val="0"/>
        <w:adjustRightInd w:val="0"/>
        <w:spacing w:before="120" w:after="120" w:line="276" w:lineRule="auto"/>
        <w:rPr>
          <w:rFonts w:ascii="Century Gothic" w:hAnsi="Century Gothic" w:cs="Arial"/>
          <w:i/>
          <w:color w:val="000000"/>
          <w:sz w:val="20"/>
          <w:szCs w:val="20"/>
        </w:rPr>
      </w:pPr>
      <w:r>
        <w:rPr>
          <w:rFonts w:ascii="Century Gothic" w:hAnsi="Century Gothic" w:cs="Arial"/>
          <w:color w:val="000000"/>
          <w:sz w:val="20"/>
          <w:szCs w:val="20"/>
        </w:rPr>
        <w:t xml:space="preserve">Approved access arrangement(s) not put in place at the time of an exam/assessment </w:t>
      </w:r>
    </w:p>
    <w:p>
      <w:pPr>
        <w:autoSpaceDE w:val="0"/>
        <w:autoSpaceDN w:val="0"/>
        <w:adjustRightInd w:val="0"/>
        <w:spacing w:before="120" w:after="120" w:line="276" w:lineRule="auto"/>
        <w:rPr>
          <w:rFonts w:ascii="Century Gothic" w:hAnsi="Century Gothic" w:cs="Arial"/>
          <w:i/>
          <w:color w:val="000000"/>
          <w:sz w:val="20"/>
          <w:szCs w:val="20"/>
        </w:rPr>
      </w:pPr>
      <w:r>
        <w:rPr>
          <w:rFonts w:ascii="Century Gothic" w:hAnsi="Century Gothic" w:cs="Arial"/>
          <w:color w:val="000000"/>
          <w:sz w:val="20"/>
          <w:szCs w:val="20"/>
        </w:rPr>
        <w:t xml:space="preserve">Appropriate arrangements not put in place at the time of an exam/assessment as </w:t>
      </w:r>
      <w:r>
        <w:rPr>
          <w:rFonts w:ascii="Century Gothic" w:hAnsi="Century Gothic" w:cs="Tahoma"/>
          <w:color w:val="000000"/>
          <w:sz w:val="20"/>
          <w:szCs w:val="20"/>
        </w:rPr>
        <w:t>a consequence of a temporary injury or impairment</w:t>
      </w:r>
    </w:p>
    <w:p>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Entries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clearly explain a decision of early entry for a qualification to candidate (or parent/carer)</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entered/entered late (incurring a late entry fee) for a required exam/assessment</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entered for a wrong exam/assessment</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entered for a wrong tier of entry</w:t>
      </w:r>
    </w:p>
    <w:p>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Conducting examinations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adequately brief candidate on exam timetable/exam regulations prior to exam/assessment taking place</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lastRenderedPageBreak/>
        <w:t>Room in which exam held did not provide candidate with appropriate conditions for taking the exam</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Inadequate invigilation in exam room</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conduct exam according to the regulations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Online system failed during (online) exam/assessment</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Disruption during exam/assessment </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Alleged, suspected or actual malpractice incident not investigated/reported</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Eligible application for special consideration for a candidate not submitted/not submitted to timescale</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inform/update candidate on the outcome of a special consideration application</w:t>
      </w:r>
    </w:p>
    <w:p>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 xml:space="preserve">Results and Post-results </w:t>
      </w:r>
    </w:p>
    <w:p>
      <w:pPr>
        <w:autoSpaceDE w:val="0"/>
        <w:autoSpaceDN w:val="0"/>
        <w:adjustRightInd w:val="0"/>
        <w:spacing w:before="120" w:after="120" w:line="276" w:lineRule="auto"/>
        <w:rPr>
          <w:rFonts w:ascii="Century Gothic" w:hAnsi="Century Gothic" w:cstheme="minorHAnsi"/>
          <w:sz w:val="20"/>
          <w:szCs w:val="20"/>
        </w:rPr>
      </w:pPr>
      <w:r>
        <w:rPr>
          <w:rFonts w:ascii="Century Gothic" w:hAnsi="Century Gothic" w:cstheme="minorHAnsi"/>
          <w:sz w:val="20"/>
          <w:szCs w:val="20"/>
        </w:rPr>
        <w:t>Before exams, candidate not made aware of the arrangements for post-results services and the accessibility of senior members of centre staff after the publication of results</w:t>
      </w:r>
    </w:p>
    <w:p>
      <w:pPr>
        <w:autoSpaceDE w:val="0"/>
        <w:autoSpaceDN w:val="0"/>
        <w:adjustRightInd w:val="0"/>
        <w:spacing w:before="120" w:after="120" w:line="276" w:lineRule="auto"/>
        <w:rPr>
          <w:rFonts w:ascii="Century Gothic" w:hAnsi="Century Gothic" w:cstheme="minorHAnsi"/>
          <w:sz w:val="20"/>
          <w:szCs w:val="20"/>
        </w:rPr>
      </w:pPr>
      <w:r>
        <w:rPr>
          <w:rFonts w:ascii="Century Gothic" w:hAnsi="Century Gothic" w:cstheme="minorHAnsi"/>
          <w:sz w:val="20"/>
          <w:szCs w:val="20"/>
        </w:rPr>
        <w:t>Candidate not having access to a member of senior staff after the publication of results to discuss/make decision on the submission of an enquiry</w:t>
      </w:r>
    </w:p>
    <w:p>
      <w:pPr>
        <w:spacing w:before="120" w:after="120" w:line="276" w:lineRule="auto"/>
        <w:rPr>
          <w:rFonts w:ascii="Century Gothic" w:hAnsi="Century Gothic"/>
          <w:sz w:val="20"/>
          <w:szCs w:val="20"/>
        </w:rPr>
      </w:pPr>
      <w:r>
        <w:rPr>
          <w:rFonts w:ascii="Century Gothic" w:hAnsi="Century Gothic"/>
          <w:sz w:val="20"/>
          <w:szCs w:val="20"/>
        </w:rPr>
        <w:t>Candidate request for return of work after moderation and work not available/disposed of earlier than allowed in the regulations</w:t>
      </w:r>
    </w:p>
    <w:p>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Candidate (or parent/carer) unhappy with a result (complainant to refer via exams officer to awarding body </w:t>
      </w:r>
      <w:r>
        <w:rPr>
          <w:rFonts w:ascii="Century Gothic" w:hAnsi="Century Gothic" w:cs="Arial"/>
          <w:i/>
          <w:color w:val="000000"/>
          <w:sz w:val="20"/>
          <w:szCs w:val="20"/>
        </w:rPr>
        <w:t>post-results services</w:t>
      </w:r>
      <w:r>
        <w:rPr>
          <w:rFonts w:ascii="Century Gothic" w:hAnsi="Century Gothic" w:cs="Arial"/>
          <w:color w:val="000000"/>
          <w:sz w:val="20"/>
          <w:szCs w:val="20"/>
        </w:rPr>
        <w:t>)</w:t>
      </w:r>
    </w:p>
    <w:p>
      <w:pPr>
        <w:autoSpaceDE w:val="0"/>
        <w:autoSpaceDN w:val="0"/>
        <w:adjustRightInd w:val="0"/>
        <w:spacing w:before="120" w:after="120" w:line="276" w:lineRule="auto"/>
        <w:rPr>
          <w:rFonts w:ascii="Century Gothic" w:hAnsi="Century Gothic" w:cs="Arial"/>
          <w:sz w:val="20"/>
          <w:szCs w:val="20"/>
        </w:rPr>
      </w:pPr>
      <w:r>
        <w:rPr>
          <w:rFonts w:ascii="Century Gothic" w:hAnsi="Century Gothic" w:cs="Arial"/>
          <w:color w:val="000000"/>
          <w:sz w:val="20"/>
          <w:szCs w:val="20"/>
        </w:rPr>
        <w:t xml:space="preserve">Candidate (or parent/carer) unhappy with a centre decision not to support </w:t>
      </w:r>
      <w:r>
        <w:rPr>
          <w:rFonts w:ascii="Century Gothic" w:hAnsi="Century Gothic" w:cs="Arial"/>
          <w:sz w:val="20"/>
          <w:szCs w:val="20"/>
        </w:rPr>
        <w:t xml:space="preserve">a clerical check, a review of marking, a review of moderation or an appeal (complainant to refer via [insert who] to the centre’s </w:t>
      </w:r>
      <w:r>
        <w:rPr>
          <w:rFonts w:ascii="Century Gothic" w:hAnsi="Century Gothic" w:cs="Arial"/>
          <w:i/>
          <w:sz w:val="20"/>
          <w:szCs w:val="20"/>
        </w:rPr>
        <w:t>internal appeals procedure</w:t>
      </w:r>
      <w:r>
        <w:rPr>
          <w:rFonts w:ascii="Century Gothic" w:hAnsi="Century Gothic" w:cs="Arial"/>
          <w:sz w:val="20"/>
          <w:szCs w:val="20"/>
        </w:rPr>
        <w:t>)</w:t>
      </w:r>
    </w:p>
    <w:p>
      <w:pPr>
        <w:spacing w:before="120" w:after="120" w:line="276" w:lineRule="auto"/>
        <w:rPr>
          <w:rFonts w:ascii="Century Gothic" w:hAnsi="Century Gothic" w:cstheme="minorHAnsi"/>
          <w:sz w:val="20"/>
          <w:szCs w:val="20"/>
        </w:rPr>
      </w:pPr>
      <w:r>
        <w:rPr>
          <w:rFonts w:ascii="Century Gothic" w:hAnsi="Century Gothic" w:cstheme="minorHAnsi"/>
          <w:sz w:val="20"/>
          <w:szCs w:val="20"/>
        </w:rPr>
        <w:t>Centre applied for the wrong post-results service/for the wrong exam paper for a candidate</w:t>
      </w:r>
    </w:p>
    <w:p>
      <w:pPr>
        <w:autoSpaceDE w:val="0"/>
        <w:autoSpaceDN w:val="0"/>
        <w:adjustRightInd w:val="0"/>
        <w:spacing w:before="120" w:after="120" w:line="276" w:lineRule="auto"/>
        <w:rPr>
          <w:rFonts w:ascii="Century Gothic" w:hAnsi="Century Gothic" w:cstheme="minorHAnsi"/>
          <w:sz w:val="20"/>
          <w:szCs w:val="20"/>
        </w:rPr>
      </w:pPr>
      <w:r>
        <w:rPr>
          <w:rFonts w:ascii="Century Gothic" w:hAnsi="Century Gothic" w:cstheme="minorHAnsi"/>
          <w:sz w:val="20"/>
          <w:szCs w:val="20"/>
        </w:rPr>
        <w:t>Centre missed awarding body deadlin</w:t>
      </w:r>
      <w:bookmarkStart w:id="2" w:name="_GoBack"/>
      <w:bookmarkEnd w:id="2"/>
      <w:r>
        <w:rPr>
          <w:rFonts w:ascii="Century Gothic" w:hAnsi="Century Gothic" w:cstheme="minorHAnsi"/>
          <w:sz w:val="20"/>
          <w:szCs w:val="20"/>
        </w:rPr>
        <w:t>e to apply for a post-results service</w:t>
      </w:r>
    </w:p>
    <w:p>
      <w:pPr>
        <w:autoSpaceDE w:val="0"/>
        <w:autoSpaceDN w:val="0"/>
        <w:adjustRightInd w:val="0"/>
        <w:spacing w:before="120" w:after="120" w:line="276" w:lineRule="auto"/>
        <w:rPr>
          <w:rFonts w:ascii="Century Gothic" w:hAnsi="Century Gothic" w:cs="Arial"/>
          <w:sz w:val="20"/>
          <w:szCs w:val="20"/>
        </w:rPr>
      </w:pPr>
      <w:r>
        <w:rPr>
          <w:rFonts w:ascii="Century Gothic" w:hAnsi="Century Gothic" w:cs="Arial"/>
          <w:color w:val="000000"/>
          <w:sz w:val="20"/>
          <w:szCs w:val="20"/>
        </w:rPr>
        <w:t>Centre applied for a post-results service for candidate without gaining required candidate consent/permission</w:t>
      </w:r>
    </w:p>
    <w:p>
      <w:pPr>
        <w:autoSpaceDE w:val="0"/>
        <w:autoSpaceDN w:val="0"/>
        <w:adjustRightInd w:val="0"/>
        <w:spacing w:before="120" w:after="120" w:line="276" w:lineRule="auto"/>
        <w:rPr>
          <w:rFonts w:ascii="Century Gothic" w:hAnsi="Century Gothic" w:cs="Arial"/>
          <w:sz w:val="20"/>
          <w:szCs w:val="20"/>
        </w:rPr>
      </w:pPr>
    </w:p>
    <w:p>
      <w:pPr>
        <w:ind w:left="360"/>
        <w:rPr>
          <w:rFonts w:ascii="Century Gothic" w:hAnsi="Century Gothic"/>
          <w:sz w:val="20"/>
          <w:szCs w:val="20"/>
          <w:lang w:val="en-GB"/>
        </w:rPr>
      </w:pPr>
    </w:p>
    <w:sect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714B"/>
    <w:multiLevelType w:val="hybridMultilevel"/>
    <w:tmpl w:val="1676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E0317E"/>
    <w:multiLevelType w:val="hybridMultilevel"/>
    <w:tmpl w:val="C0E4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05C6"/>
    <w:multiLevelType w:val="hybridMultilevel"/>
    <w:tmpl w:val="3D06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32BE1"/>
    <w:multiLevelType w:val="hybridMultilevel"/>
    <w:tmpl w:val="4594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93999"/>
    <w:multiLevelType w:val="hybridMultilevel"/>
    <w:tmpl w:val="DE888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9"/>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eadinglevel1">
    <w:name w:val="Heading level 1"/>
    <w:basedOn w:val="Normal"/>
    <w:qFormat/>
    <w:pPr>
      <w:spacing w:before="120" w:after="240"/>
      <w:outlineLvl w:val="0"/>
    </w:pPr>
    <w:rPr>
      <w:rFonts w:ascii="Rockwell" w:eastAsia="Times New Roman" w:hAnsi="Rockwell" w:cs="Times New Roman"/>
      <w:b/>
      <w:color w:val="003399"/>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2EE055F7</Template>
  <TotalTime>3</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Rachel Dodds</cp:lastModifiedBy>
  <cp:revision>3</cp:revision>
  <cp:lastPrinted>2017-04-26T12:50:00Z</cp:lastPrinted>
  <dcterms:created xsi:type="dcterms:W3CDTF">2018-04-30T09:32:00Z</dcterms:created>
  <dcterms:modified xsi:type="dcterms:W3CDTF">2018-05-01T08:13:00Z</dcterms:modified>
</cp:coreProperties>
</file>