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41"/>
        <w:tblW w:w="16292" w:type="dxa"/>
        <w:tblLook w:val="04A0" w:firstRow="1" w:lastRow="0" w:firstColumn="1" w:lastColumn="0" w:noHBand="0" w:noVBand="1"/>
      </w:tblPr>
      <w:tblGrid>
        <w:gridCol w:w="713"/>
        <w:gridCol w:w="690"/>
        <w:gridCol w:w="14"/>
        <w:gridCol w:w="2406"/>
        <w:gridCol w:w="4156"/>
        <w:gridCol w:w="3496"/>
        <w:gridCol w:w="660"/>
        <w:gridCol w:w="1748"/>
        <w:gridCol w:w="2409"/>
      </w:tblGrid>
      <w:tr w:rsidR="00E550EA" w:rsidRPr="00E550EA" w14:paraId="6282F7E5" w14:textId="77777777" w:rsidTr="00304130">
        <w:trPr>
          <w:trHeight w:val="567"/>
        </w:trPr>
        <w:tc>
          <w:tcPr>
            <w:tcW w:w="1417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2099CD84" w14:textId="63E4EF1B" w:rsidR="00E550EA" w:rsidRPr="00093AE2" w:rsidRDefault="00E550EA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093AE2">
              <w:rPr>
                <w:rFonts w:ascii="Century Gothic" w:hAnsi="Century Gothic"/>
                <w:b/>
                <w:sz w:val="25"/>
                <w:szCs w:val="19"/>
              </w:rPr>
              <w:t>Long Term Plan</w:t>
            </w:r>
          </w:p>
        </w:tc>
        <w:tc>
          <w:tcPr>
            <w:tcW w:w="14875" w:type="dxa"/>
            <w:gridSpan w:val="6"/>
            <w:shd w:val="clear" w:color="auto" w:fill="000000" w:themeFill="text1"/>
            <w:vAlign w:val="center"/>
          </w:tcPr>
          <w:p w14:paraId="476E0357" w14:textId="788CA1C5" w:rsidR="00E550EA" w:rsidRPr="00E550EA" w:rsidRDefault="008E763B" w:rsidP="00304130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Our Year 9 curriculum deepens and enhances our student’s knowledge and understanding of our fundamental RS</w:t>
            </w:r>
            <w:r w:rsidR="00D93F73">
              <w:rPr>
                <w:rFonts w:ascii="Century Gothic" w:hAnsi="Century Gothic"/>
                <w:sz w:val="18"/>
                <w:szCs w:val="20"/>
              </w:rPr>
              <w:t>H</w:t>
            </w:r>
            <w:r>
              <w:rPr>
                <w:rFonts w:ascii="Century Gothic" w:hAnsi="Century Gothic"/>
                <w:sz w:val="18"/>
                <w:szCs w:val="20"/>
              </w:rPr>
              <w:t>E themes. Students will have opportunities to extend and rehearse skills, and further explore attitudes, values and attributes acquired during Year 8. Our bespoke curriculum reflects the emerging needs of our Year 9 students and the fact that students are moving towards an independent role in adult life, taking on greater responsibility for themselves and others.</w:t>
            </w:r>
          </w:p>
        </w:tc>
      </w:tr>
      <w:tr w:rsidR="00E02328" w:rsidRPr="00E550EA" w14:paraId="4E70A5B9" w14:textId="77777777" w:rsidTr="006B1C01">
        <w:tc>
          <w:tcPr>
            <w:tcW w:w="1417" w:type="dxa"/>
            <w:gridSpan w:val="3"/>
            <w:vMerge/>
            <w:tcBorders>
              <w:left w:val="nil"/>
            </w:tcBorders>
          </w:tcPr>
          <w:p w14:paraId="556CFD7B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406" w:type="dxa"/>
            <w:vAlign w:val="center"/>
          </w:tcPr>
          <w:p w14:paraId="51454A19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Learning Cycle</w:t>
            </w:r>
          </w:p>
        </w:tc>
        <w:tc>
          <w:tcPr>
            <w:tcW w:w="7652" w:type="dxa"/>
            <w:gridSpan w:val="2"/>
            <w:vAlign w:val="center"/>
          </w:tcPr>
          <w:p w14:paraId="6A3888EE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Key Concepts and Themes</w:t>
            </w:r>
          </w:p>
        </w:tc>
        <w:tc>
          <w:tcPr>
            <w:tcW w:w="2408" w:type="dxa"/>
            <w:gridSpan w:val="2"/>
            <w:vAlign w:val="center"/>
          </w:tcPr>
          <w:p w14:paraId="2AC6B157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Vocabulary</w:t>
            </w:r>
          </w:p>
        </w:tc>
        <w:tc>
          <w:tcPr>
            <w:tcW w:w="2409" w:type="dxa"/>
            <w:vAlign w:val="center"/>
          </w:tcPr>
          <w:p w14:paraId="15EA093A" w14:textId="713181DC" w:rsidR="00E02328" w:rsidRPr="00E550EA" w:rsidRDefault="0024260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Teacher Notes</w:t>
            </w:r>
          </w:p>
        </w:tc>
      </w:tr>
      <w:tr w:rsidR="00E02328" w:rsidRPr="00E550EA" w14:paraId="4B60D6D0" w14:textId="77777777" w:rsidTr="006B1C01">
        <w:trPr>
          <w:trHeight w:val="942"/>
        </w:trPr>
        <w:tc>
          <w:tcPr>
            <w:tcW w:w="713" w:type="dxa"/>
            <w:vMerge w:val="restart"/>
            <w:shd w:val="clear" w:color="auto" w:fill="000000" w:themeFill="text1"/>
            <w:textDirection w:val="btLr"/>
          </w:tcPr>
          <w:p w14:paraId="52929820" w14:textId="31C42F92" w:rsidR="008F5C39" w:rsidRPr="00E550EA" w:rsidRDefault="00C125A0" w:rsidP="00CA5964">
            <w:pPr>
              <w:ind w:left="113" w:right="113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39"/>
                <w:szCs w:val="19"/>
              </w:rPr>
              <w:t>Year</w:t>
            </w:r>
            <w:r w:rsidR="00CA5964">
              <w:rPr>
                <w:rFonts w:ascii="Century Gothic" w:hAnsi="Century Gothic"/>
                <w:b/>
                <w:sz w:val="39"/>
                <w:szCs w:val="19"/>
              </w:rPr>
              <w:t xml:space="preserve"> </w:t>
            </w:r>
            <w:r w:rsidR="00BE2AB4">
              <w:rPr>
                <w:rFonts w:ascii="Century Gothic" w:hAnsi="Century Gothic"/>
                <w:b/>
                <w:sz w:val="39"/>
                <w:szCs w:val="19"/>
              </w:rPr>
              <w:t>9</w:t>
            </w:r>
            <w:r>
              <w:rPr>
                <w:rFonts w:ascii="Century Gothic" w:hAnsi="Century Gothic"/>
                <w:b/>
                <w:sz w:val="39"/>
                <w:szCs w:val="19"/>
              </w:rPr>
              <w:t xml:space="preserve">: </w:t>
            </w:r>
            <w:r w:rsidR="00CA5964">
              <w:rPr>
                <w:rFonts w:ascii="Century Gothic" w:hAnsi="Century Gothic"/>
                <w:b/>
                <w:sz w:val="39"/>
                <w:szCs w:val="19"/>
              </w:rPr>
              <w:t xml:space="preserve">Personal Development </w:t>
            </w:r>
          </w:p>
        </w:tc>
        <w:tc>
          <w:tcPr>
            <w:tcW w:w="704" w:type="dxa"/>
            <w:gridSpan w:val="2"/>
            <w:shd w:val="clear" w:color="auto" w:fill="B7B16B"/>
            <w:vAlign w:val="center"/>
          </w:tcPr>
          <w:p w14:paraId="5CE2EF5F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HT1</w:t>
            </w:r>
          </w:p>
        </w:tc>
        <w:tc>
          <w:tcPr>
            <w:tcW w:w="2406" w:type="dxa"/>
            <w:vAlign w:val="center"/>
          </w:tcPr>
          <w:p w14:paraId="0905F0FF" w14:textId="6033BCB9" w:rsidR="00E02328" w:rsidRPr="00E550EA" w:rsidRDefault="0010743A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Respectful Relationships</w:t>
            </w:r>
          </w:p>
        </w:tc>
        <w:tc>
          <w:tcPr>
            <w:tcW w:w="7652" w:type="dxa"/>
            <w:gridSpan w:val="2"/>
            <w:vAlign w:val="center"/>
          </w:tcPr>
          <w:p w14:paraId="1F924DE7" w14:textId="7F7724C3" w:rsidR="0010743A" w:rsidRPr="00BE2AB4" w:rsidRDefault="00CA5964" w:rsidP="001074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color w:val="0070C0"/>
                <w:sz w:val="16"/>
                <w:szCs w:val="19"/>
              </w:rPr>
            </w:pPr>
            <w:r>
              <w:rPr>
                <w:rFonts w:ascii="Century Gothic" w:hAnsi="Century Gothic"/>
                <w:sz w:val="16"/>
                <w:szCs w:val="19"/>
              </w:rPr>
              <w:t xml:space="preserve">Healthy </w:t>
            </w:r>
            <w:r w:rsidR="00C83183">
              <w:rPr>
                <w:rFonts w:ascii="Century Gothic" w:hAnsi="Century Gothic"/>
                <w:sz w:val="16"/>
                <w:szCs w:val="19"/>
              </w:rPr>
              <w:t>relationships</w:t>
            </w:r>
            <w:r>
              <w:rPr>
                <w:rFonts w:ascii="Century Gothic" w:hAnsi="Century Gothic"/>
                <w:sz w:val="16"/>
                <w:szCs w:val="19"/>
              </w:rPr>
              <w:t xml:space="preserve"> –</w:t>
            </w:r>
            <w:r w:rsidR="00BE2AB4">
              <w:rPr>
                <w:rFonts w:ascii="Century Gothic" w:hAnsi="Century Gothic"/>
                <w:color w:val="FF0000"/>
                <w:sz w:val="16"/>
                <w:szCs w:val="19"/>
              </w:rPr>
              <w:t xml:space="preserve">the characteristics and </w:t>
            </w:r>
            <w:r w:rsidR="00C83183">
              <w:rPr>
                <w:rFonts w:ascii="Century Gothic" w:hAnsi="Century Gothic"/>
                <w:color w:val="FF0000"/>
                <w:sz w:val="16"/>
                <w:szCs w:val="19"/>
              </w:rPr>
              <w:t>strategies for</w:t>
            </w:r>
            <w:r w:rsidR="00BE2AB4">
              <w:rPr>
                <w:rFonts w:ascii="Century Gothic" w:hAnsi="Century Gothic"/>
                <w:color w:val="FF0000"/>
                <w:sz w:val="16"/>
                <w:szCs w:val="19"/>
              </w:rPr>
              <w:t xml:space="preserve"> strong relationships</w:t>
            </w:r>
            <w:r w:rsidR="00C83183">
              <w:rPr>
                <w:rFonts w:ascii="Century Gothic" w:hAnsi="Century Gothic"/>
                <w:color w:val="FF0000"/>
                <w:sz w:val="16"/>
                <w:szCs w:val="19"/>
              </w:rPr>
              <w:t xml:space="preserve"> at home</w:t>
            </w:r>
            <w:r>
              <w:rPr>
                <w:rFonts w:ascii="Century Gothic" w:hAnsi="Century Gothic"/>
                <w:sz w:val="16"/>
                <w:szCs w:val="19"/>
              </w:rPr>
              <w:t xml:space="preserve">– </w:t>
            </w:r>
            <w:r w:rsidR="00BE2AB4" w:rsidRPr="00BE2AB4">
              <w:rPr>
                <w:rFonts w:ascii="Century Gothic" w:hAnsi="Century Gothic"/>
                <w:color w:val="0070C0"/>
                <w:sz w:val="16"/>
                <w:szCs w:val="19"/>
              </w:rPr>
              <w:t xml:space="preserve">managing falling out with parents and </w:t>
            </w:r>
            <w:r w:rsidR="00C83183">
              <w:rPr>
                <w:rFonts w:ascii="Century Gothic" w:hAnsi="Century Gothic"/>
                <w:color w:val="0070C0"/>
                <w:sz w:val="16"/>
                <w:szCs w:val="19"/>
              </w:rPr>
              <w:t>siblings</w:t>
            </w:r>
          </w:p>
          <w:p w14:paraId="7EEF8775" w14:textId="13F4C443" w:rsidR="00CA5964" w:rsidRPr="00CA5964" w:rsidRDefault="00CA5964" w:rsidP="001074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sz w:val="16"/>
                <w:szCs w:val="19"/>
              </w:rPr>
            </w:pPr>
            <w:r>
              <w:rPr>
                <w:rFonts w:ascii="Century Gothic" w:hAnsi="Century Gothic"/>
                <w:sz w:val="16"/>
                <w:szCs w:val="19"/>
              </w:rPr>
              <w:t xml:space="preserve">Protected characteristics – </w:t>
            </w:r>
            <w:r w:rsidRPr="00CA5964">
              <w:rPr>
                <w:rFonts w:ascii="Century Gothic" w:hAnsi="Century Gothic"/>
                <w:color w:val="FF0000"/>
                <w:sz w:val="16"/>
                <w:szCs w:val="19"/>
              </w:rPr>
              <w:t xml:space="preserve">exploring the protected characteristics </w:t>
            </w:r>
            <w:r>
              <w:rPr>
                <w:rFonts w:ascii="Century Gothic" w:hAnsi="Century Gothic"/>
                <w:sz w:val="16"/>
                <w:szCs w:val="19"/>
              </w:rPr>
              <w:t xml:space="preserve">– </w:t>
            </w:r>
            <w:r w:rsidR="00BE2AB4">
              <w:rPr>
                <w:rFonts w:ascii="Century Gothic" w:hAnsi="Century Gothic"/>
                <w:color w:val="0070C0"/>
                <w:sz w:val="16"/>
                <w:szCs w:val="19"/>
              </w:rPr>
              <w:t xml:space="preserve">homophobia and transphobia </w:t>
            </w:r>
          </w:p>
          <w:p w14:paraId="77C0E21B" w14:textId="759AEA58" w:rsidR="00CA5964" w:rsidRPr="00CA5964" w:rsidRDefault="00CA5964" w:rsidP="001074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sz w:val="16"/>
                <w:szCs w:val="19"/>
              </w:rPr>
            </w:pPr>
            <w:r>
              <w:rPr>
                <w:rFonts w:ascii="Century Gothic" w:hAnsi="Century Gothic"/>
                <w:sz w:val="16"/>
                <w:szCs w:val="19"/>
              </w:rPr>
              <w:t>Identifying harmful behaviour online/cyberbullying –</w:t>
            </w:r>
            <w:r w:rsidR="009D6626">
              <w:rPr>
                <w:rFonts w:ascii="Century Gothic" w:hAnsi="Century Gothic"/>
                <w:color w:val="FF0000"/>
                <w:sz w:val="16"/>
                <w:szCs w:val="19"/>
              </w:rPr>
              <w:t>the impact of stereotyping and discrimination on individuals and relationships</w:t>
            </w:r>
            <w:r>
              <w:rPr>
                <w:rFonts w:ascii="Century Gothic" w:hAnsi="Century Gothic"/>
                <w:sz w:val="16"/>
                <w:szCs w:val="19"/>
              </w:rPr>
              <w:t>–</w:t>
            </w:r>
            <w:r w:rsidR="009D6626">
              <w:rPr>
                <w:rFonts w:ascii="Century Gothic" w:hAnsi="Century Gothic"/>
                <w:color w:val="0070C0"/>
                <w:sz w:val="16"/>
                <w:szCs w:val="19"/>
              </w:rPr>
              <w:t xml:space="preserve">pushing, name calling, cancel culture, gaslighting </w:t>
            </w:r>
            <w:r w:rsidRPr="00CA5964">
              <w:rPr>
                <w:rFonts w:ascii="Century Gothic" w:hAnsi="Century Gothic"/>
                <w:color w:val="0070C0"/>
                <w:sz w:val="16"/>
                <w:szCs w:val="19"/>
              </w:rPr>
              <w:t xml:space="preserve"> </w:t>
            </w:r>
          </w:p>
          <w:p w14:paraId="29069794" w14:textId="251B9C5C" w:rsidR="00CA5964" w:rsidRDefault="00CA5964" w:rsidP="001074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sz w:val="16"/>
                <w:szCs w:val="19"/>
              </w:rPr>
            </w:pPr>
            <w:r>
              <w:rPr>
                <w:rFonts w:ascii="Century Gothic" w:hAnsi="Century Gothic"/>
                <w:sz w:val="16"/>
                <w:szCs w:val="19"/>
              </w:rPr>
              <w:t xml:space="preserve">Consent and criminal behaviour within relationships </w:t>
            </w:r>
            <w:r w:rsidR="00737255" w:rsidRPr="00737255">
              <w:rPr>
                <w:rFonts w:ascii="Century Gothic" w:hAnsi="Century Gothic"/>
                <w:color w:val="FF0000"/>
                <w:sz w:val="16"/>
                <w:szCs w:val="19"/>
              </w:rPr>
              <w:t xml:space="preserve">– recognising when others are using manipulation and coercion </w:t>
            </w:r>
            <w:r w:rsidR="00737255">
              <w:rPr>
                <w:rFonts w:ascii="Century Gothic" w:hAnsi="Century Gothic"/>
                <w:sz w:val="16"/>
                <w:szCs w:val="19"/>
              </w:rPr>
              <w:t xml:space="preserve">- </w:t>
            </w:r>
            <w:r w:rsidR="00737255" w:rsidRPr="00737255">
              <w:rPr>
                <w:rFonts w:ascii="Century Gothic" w:hAnsi="Century Gothic"/>
                <w:color w:val="0070C0"/>
                <w:sz w:val="16"/>
                <w:szCs w:val="19"/>
              </w:rPr>
              <w:t>forced participation in sexual acts</w:t>
            </w:r>
          </w:p>
          <w:p w14:paraId="1A2AEE4B" w14:textId="7A063D7C" w:rsidR="00CA5964" w:rsidRPr="00CA5964" w:rsidRDefault="00CA5964" w:rsidP="001074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color w:val="0070C0"/>
                <w:sz w:val="16"/>
                <w:szCs w:val="19"/>
              </w:rPr>
            </w:pPr>
            <w:r>
              <w:rPr>
                <w:rFonts w:ascii="Century Gothic" w:hAnsi="Century Gothic"/>
                <w:sz w:val="16"/>
                <w:szCs w:val="19"/>
              </w:rPr>
              <w:t>Sexual harassment and sexual violence –</w:t>
            </w:r>
            <w:r w:rsidR="00247A9A">
              <w:rPr>
                <w:rFonts w:ascii="Century Gothic" w:hAnsi="Century Gothic"/>
                <w:color w:val="FF0000"/>
                <w:sz w:val="16"/>
                <w:szCs w:val="19"/>
              </w:rPr>
              <w:t xml:space="preserve"> recognising unwanted attention and unwanted physical contact</w:t>
            </w:r>
            <w:r>
              <w:rPr>
                <w:rFonts w:ascii="Century Gothic" w:hAnsi="Century Gothic"/>
                <w:sz w:val="16"/>
                <w:szCs w:val="19"/>
              </w:rPr>
              <w:t xml:space="preserve">– </w:t>
            </w:r>
            <w:r w:rsidR="00247A9A">
              <w:rPr>
                <w:rFonts w:ascii="Century Gothic" w:hAnsi="Century Gothic"/>
                <w:color w:val="0070C0"/>
                <w:sz w:val="16"/>
                <w:szCs w:val="19"/>
              </w:rPr>
              <w:t xml:space="preserve">pinging bra straps, comments about sexuality, </w:t>
            </w:r>
            <w:r w:rsidR="00D6793B">
              <w:rPr>
                <w:rFonts w:ascii="Century Gothic" w:hAnsi="Century Gothic"/>
                <w:color w:val="0070C0"/>
                <w:sz w:val="16"/>
                <w:szCs w:val="19"/>
              </w:rPr>
              <w:t>‘</w:t>
            </w:r>
            <w:r w:rsidR="00247A9A">
              <w:rPr>
                <w:rFonts w:ascii="Century Gothic" w:hAnsi="Century Gothic"/>
                <w:color w:val="0070C0"/>
                <w:sz w:val="16"/>
                <w:szCs w:val="19"/>
              </w:rPr>
              <w:t>bum touching</w:t>
            </w:r>
            <w:r w:rsidR="00D6793B">
              <w:rPr>
                <w:rFonts w:ascii="Century Gothic" w:hAnsi="Century Gothic"/>
                <w:color w:val="0070C0"/>
                <w:sz w:val="16"/>
                <w:szCs w:val="19"/>
              </w:rPr>
              <w:t>’</w:t>
            </w:r>
          </w:p>
          <w:p w14:paraId="2BC3B853" w14:textId="5457F99A" w:rsidR="001F2587" w:rsidRPr="00D05DAC" w:rsidRDefault="00C17AAB" w:rsidP="001F258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sz w:val="16"/>
                <w:szCs w:val="19"/>
              </w:rPr>
            </w:pPr>
            <w:r>
              <w:rPr>
                <w:rFonts w:ascii="Century Gothic" w:hAnsi="Century Gothic"/>
                <w:sz w:val="16"/>
                <w:szCs w:val="19"/>
              </w:rPr>
              <w:t xml:space="preserve">Peer influence </w:t>
            </w:r>
            <w:r w:rsidR="00B40BB1">
              <w:rPr>
                <w:rFonts w:ascii="Century Gothic" w:hAnsi="Century Gothic"/>
                <w:sz w:val="16"/>
                <w:szCs w:val="19"/>
              </w:rPr>
              <w:t xml:space="preserve">+ risky behaviour </w:t>
            </w:r>
            <w:r w:rsidR="00AE2496">
              <w:rPr>
                <w:rFonts w:ascii="Century Gothic" w:hAnsi="Century Gothic"/>
                <w:sz w:val="16"/>
                <w:szCs w:val="19"/>
              </w:rPr>
              <w:t>-</w:t>
            </w:r>
            <w:r>
              <w:rPr>
                <w:rFonts w:ascii="Century Gothic" w:hAnsi="Century Gothic"/>
                <w:sz w:val="16"/>
                <w:szCs w:val="19"/>
              </w:rPr>
              <w:t xml:space="preserve"> </w:t>
            </w:r>
            <w:r w:rsidRPr="00C17AAB">
              <w:rPr>
                <w:rFonts w:ascii="Century Gothic" w:hAnsi="Century Gothic"/>
                <w:color w:val="FF0000"/>
                <w:sz w:val="16"/>
                <w:szCs w:val="19"/>
              </w:rPr>
              <w:t xml:space="preserve">recognising peer influence and </w:t>
            </w:r>
            <w:r w:rsidR="00B40BB1" w:rsidRPr="000F2C76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the role of alcohol and drugs </w:t>
            </w:r>
            <w:r w:rsidR="00B40BB1" w:rsidRPr="000F2C76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 xml:space="preserve">– </w:t>
            </w:r>
            <w:r w:rsidR="001F2587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pressure to try vaping</w:t>
            </w:r>
          </w:p>
          <w:p w14:paraId="14F46763" w14:textId="6A702388" w:rsidR="00CA5964" w:rsidRPr="00D05DAC" w:rsidRDefault="00CA5964" w:rsidP="001074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/>
                <w:sz w:val="16"/>
                <w:szCs w:val="19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E4E8E54" w14:textId="6A34A7AC" w:rsidR="00E02328" w:rsidRPr="008D0BD0" w:rsidRDefault="008D0BD0" w:rsidP="0030413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Assault, </w:t>
            </w:r>
            <w:r w:rsidR="00D93F73">
              <w:rPr>
                <w:rFonts w:ascii="Century Gothic" w:hAnsi="Century Gothic"/>
                <w:color w:val="000000"/>
                <w:sz w:val="16"/>
                <w:szCs w:val="16"/>
              </w:rPr>
              <w:t>s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exual assault, </w:t>
            </w:r>
            <w:r w:rsidR="00AE2496">
              <w:rPr>
                <w:rFonts w:ascii="Century Gothic" w:hAnsi="Century Gothic"/>
                <w:color w:val="000000"/>
                <w:sz w:val="16"/>
                <w:szCs w:val="16"/>
              </w:rPr>
              <w:t>c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oercion, </w:t>
            </w:r>
            <w:r w:rsidR="003E6B9C">
              <w:rPr>
                <w:rFonts w:ascii="Century Gothic" w:hAnsi="Century Gothic"/>
                <w:color w:val="000000"/>
                <w:sz w:val="16"/>
                <w:szCs w:val="16"/>
              </w:rPr>
              <w:t>b</w:t>
            </w:r>
            <w:r w:rsidR="003E6B9C" w:rsidRPr="008D0BD0">
              <w:rPr>
                <w:rFonts w:ascii="Century Gothic" w:hAnsi="Century Gothic"/>
                <w:color w:val="000000"/>
                <w:sz w:val="16"/>
                <w:szCs w:val="16"/>
              </w:rPr>
              <w:t>lackmail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, </w:t>
            </w:r>
            <w:r w:rsidR="00AE2496">
              <w:rPr>
                <w:rFonts w:ascii="Century Gothic" w:hAnsi="Century Gothic"/>
                <w:color w:val="000000"/>
                <w:sz w:val="16"/>
                <w:szCs w:val="16"/>
              </w:rPr>
              <w:t>s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talking, </w:t>
            </w:r>
            <w:r w:rsidR="00AE2496">
              <w:rPr>
                <w:rFonts w:ascii="Century Gothic" w:hAnsi="Century Gothic"/>
                <w:color w:val="000000"/>
                <w:sz w:val="16"/>
                <w:szCs w:val="16"/>
              </w:rPr>
              <w:t>h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arassment, </w:t>
            </w:r>
            <w:r w:rsidR="00AE2496">
              <w:rPr>
                <w:rFonts w:ascii="Century Gothic" w:hAnsi="Century Gothic"/>
                <w:color w:val="000000"/>
                <w:sz w:val="16"/>
                <w:szCs w:val="16"/>
              </w:rPr>
              <w:t>m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>utual respect</w:t>
            </w:r>
          </w:p>
        </w:tc>
        <w:tc>
          <w:tcPr>
            <w:tcW w:w="2409" w:type="dxa"/>
            <w:vAlign w:val="center"/>
          </w:tcPr>
          <w:p w14:paraId="7F2F0F09" w14:textId="0A29F120" w:rsidR="008F5C39" w:rsidRPr="008F5C39" w:rsidRDefault="008F5C39" w:rsidP="00780042">
            <w:pPr>
              <w:jc w:val="center"/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</w:tr>
      <w:tr w:rsidR="00E02328" w:rsidRPr="00E550EA" w14:paraId="0DA61BCE" w14:textId="77777777" w:rsidTr="00E83A95">
        <w:trPr>
          <w:trHeight w:val="962"/>
        </w:trPr>
        <w:tc>
          <w:tcPr>
            <w:tcW w:w="713" w:type="dxa"/>
            <w:vMerge/>
            <w:shd w:val="clear" w:color="auto" w:fill="000000" w:themeFill="text1"/>
          </w:tcPr>
          <w:p w14:paraId="7799031B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top w:val="double" w:sz="4" w:space="0" w:color="auto"/>
            </w:tcBorders>
            <w:shd w:val="clear" w:color="auto" w:fill="7030A0"/>
            <w:vAlign w:val="center"/>
          </w:tcPr>
          <w:p w14:paraId="4419148D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HT2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113634E0" w14:textId="1C672B6B" w:rsidR="00E02328" w:rsidRPr="00E550EA" w:rsidRDefault="00E83A95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Intimate and Sexual Relationships</w:t>
            </w:r>
          </w:p>
        </w:tc>
        <w:tc>
          <w:tcPr>
            <w:tcW w:w="7652" w:type="dxa"/>
            <w:gridSpan w:val="2"/>
            <w:tcBorders>
              <w:top w:val="double" w:sz="4" w:space="0" w:color="auto"/>
            </w:tcBorders>
            <w:vAlign w:val="center"/>
          </w:tcPr>
          <w:p w14:paraId="74A2005F" w14:textId="278F1631" w:rsidR="00810B0E" w:rsidRPr="00B40BB1" w:rsidRDefault="00E83A95" w:rsidP="00FD207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 w:cstheme="minorHAnsi"/>
                <w:sz w:val="16"/>
                <w:szCs w:val="19"/>
              </w:rPr>
            </w:pPr>
            <w:r w:rsidRPr="00B40BB1">
              <w:rPr>
                <w:rFonts w:ascii="Century Gothic" w:hAnsi="Century Gothic" w:cstheme="minorHAnsi"/>
                <w:sz w:val="16"/>
                <w:szCs w:val="19"/>
              </w:rPr>
              <w:t xml:space="preserve">Positive, healthy intimate relationships </w:t>
            </w:r>
            <w:r w:rsidRPr="00B40BB1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– Revisiting the key characteristics and managing the breakdown of romantic relationships </w:t>
            </w:r>
            <w:r w:rsidRPr="00B40BB1">
              <w:rPr>
                <w:rFonts w:ascii="Century Gothic" w:hAnsi="Century Gothic" w:cstheme="minorHAnsi"/>
                <w:sz w:val="16"/>
                <w:szCs w:val="19"/>
              </w:rPr>
              <w:t xml:space="preserve">– </w:t>
            </w:r>
            <w:r w:rsidRPr="00B40BB1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the importance of first sexual encounters</w:t>
            </w:r>
            <w:r w:rsidR="00153677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 xml:space="preserve"> and the health concerns.</w:t>
            </w:r>
          </w:p>
          <w:p w14:paraId="19923555" w14:textId="1916758F" w:rsidR="00E83A95" w:rsidRDefault="00E83A95" w:rsidP="00FD207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Consent and managing sexual pressure </w:t>
            </w:r>
            <w:r w:rsidRPr="000F2C76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>– indicators of unhealthy rel</w:t>
            </w:r>
            <w:r w:rsidR="000F2C76" w:rsidRPr="000F2C76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>ationships and seeking support –</w:t>
            </w:r>
            <w:r w:rsidR="000F2C76">
              <w:rPr>
                <w:rFonts w:ascii="Century Gothic" w:hAnsi="Century Gothic" w:cstheme="minorHAnsi"/>
                <w:sz w:val="16"/>
                <w:szCs w:val="19"/>
              </w:rPr>
              <w:t xml:space="preserve"> </w:t>
            </w:r>
            <w:r w:rsidR="000F2C76" w:rsidRPr="000F2C76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body language and giving friends advice on sexual encounters</w:t>
            </w:r>
            <w:r w:rsidR="00153677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 xml:space="preserve"> and judgement changes in behaviour involving alcohol/drugs.</w:t>
            </w:r>
          </w:p>
          <w:p w14:paraId="14FF62DE" w14:textId="77777777" w:rsidR="000F2C76" w:rsidRPr="000F2C76" w:rsidRDefault="000F2C76" w:rsidP="00FD207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Contraception and STI’s – </w:t>
            </w:r>
            <w:r w:rsidRPr="000F2C76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communication and negotiation skills for contraception </w:t>
            </w:r>
            <w:r>
              <w:rPr>
                <w:rFonts w:ascii="Century Gothic" w:hAnsi="Century Gothic" w:cstheme="minorHAnsi"/>
                <w:sz w:val="16"/>
                <w:szCs w:val="19"/>
              </w:rPr>
              <w:t xml:space="preserve">– </w:t>
            </w:r>
            <w:r w:rsidRPr="000F2C76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contraceptive use between partners</w:t>
            </w:r>
          </w:p>
          <w:p w14:paraId="658AD093" w14:textId="220513AB" w:rsidR="000F2C76" w:rsidRPr="00B40BB1" w:rsidRDefault="000F2C76" w:rsidP="00B40BB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hAnsi="Century Gothic" w:cstheme="minorHAnsi"/>
                <w:color w:val="FF0000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Reproductive health, fertility and menopause – </w:t>
            </w:r>
            <w:r w:rsidRPr="000F2C76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exploring miscarriage </w:t>
            </w:r>
            <w:r w:rsidRPr="009B1C72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– supporting a family member through miscarriage</w:t>
            </w:r>
            <w:r w:rsidR="00153677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 xml:space="preserve"> and the time frame of abortion.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</w:tcBorders>
            <w:vAlign w:val="center"/>
          </w:tcPr>
          <w:p w14:paraId="0330FF54" w14:textId="2EA7550C" w:rsidR="00907D91" w:rsidRDefault="00907D91" w:rsidP="00304130">
            <w:pPr>
              <w:jc w:val="center"/>
              <w:rPr>
                <w:rFonts w:ascii="Century Gothic" w:hAnsi="Century Gothic" w:cstheme="minorHAnsi"/>
                <w:sz w:val="17"/>
                <w:szCs w:val="19"/>
              </w:rPr>
            </w:pPr>
          </w:p>
          <w:p w14:paraId="23DF5358" w14:textId="3F6C6F79" w:rsidR="00907D91" w:rsidRPr="008D0BD0" w:rsidRDefault="008D0BD0" w:rsidP="0030413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Sexual norms,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c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oercion,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i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ntimacy,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m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utual respect,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w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>ithdraw consent</w:t>
            </w:r>
          </w:p>
          <w:p w14:paraId="43BF1C22" w14:textId="4B5C5401" w:rsidR="00E02328" w:rsidRPr="00304130" w:rsidRDefault="00E02328" w:rsidP="00304130">
            <w:pPr>
              <w:jc w:val="center"/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19708B8B" w14:textId="44C7E593" w:rsidR="00E02328" w:rsidRPr="00304130" w:rsidRDefault="00E02328" w:rsidP="00304130">
            <w:pPr>
              <w:jc w:val="center"/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</w:tr>
      <w:tr w:rsidR="00E02328" w:rsidRPr="00E550EA" w14:paraId="70511ECE" w14:textId="77777777" w:rsidTr="008129FE">
        <w:tc>
          <w:tcPr>
            <w:tcW w:w="713" w:type="dxa"/>
            <w:vMerge/>
            <w:shd w:val="clear" w:color="auto" w:fill="000000" w:themeFill="text1"/>
          </w:tcPr>
          <w:p w14:paraId="38856C2D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  <w:vAlign w:val="center"/>
          </w:tcPr>
          <w:p w14:paraId="7193D8FB" w14:textId="77777777" w:rsidR="00E02328" w:rsidRPr="008129FE" w:rsidRDefault="00E02328" w:rsidP="00304130">
            <w:pPr>
              <w:jc w:val="center"/>
              <w:rPr>
                <w:rFonts w:ascii="Century Gothic" w:hAnsi="Century Gothic"/>
                <w:b/>
                <w:color w:val="0070C0"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HT3</w:t>
            </w:r>
          </w:p>
        </w:tc>
        <w:tc>
          <w:tcPr>
            <w:tcW w:w="24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F7FED5" w14:textId="1EAF92C1" w:rsidR="00E02328" w:rsidRPr="00E550EA" w:rsidRDefault="00C177CD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World Around Me</w:t>
            </w:r>
            <w:r w:rsidR="008D0BD0">
              <w:rPr>
                <w:rFonts w:ascii="Century Gothic" w:hAnsi="Century Gothic"/>
                <w:sz w:val="19"/>
                <w:szCs w:val="19"/>
              </w:rPr>
              <w:t>: Careers</w:t>
            </w:r>
          </w:p>
        </w:tc>
        <w:tc>
          <w:tcPr>
            <w:tcW w:w="76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864E5D" w14:textId="77777777" w:rsidR="00A216B8" w:rsidRDefault="00A216B8" w:rsidP="003041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>Reflection on transferable skills</w:t>
            </w:r>
          </w:p>
          <w:p w14:paraId="0F90018F" w14:textId="77777777" w:rsidR="00A216B8" w:rsidRDefault="00A216B8" w:rsidP="003041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Reflection on career pathways </w:t>
            </w:r>
          </w:p>
          <w:p w14:paraId="3674D3B0" w14:textId="77777777" w:rsidR="00A216B8" w:rsidRDefault="00A216B8" w:rsidP="003041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>Exploring options to choose for GCSE</w:t>
            </w:r>
          </w:p>
          <w:p w14:paraId="07F7FE9C" w14:textId="77777777" w:rsidR="00A216B8" w:rsidRDefault="00A216B8" w:rsidP="003041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Exploring vocational options </w:t>
            </w:r>
          </w:p>
          <w:p w14:paraId="1BD9BF9B" w14:textId="049D29D2" w:rsidR="00810B0E" w:rsidRPr="00071373" w:rsidRDefault="00A216B8" w:rsidP="003041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>Drafting CV</w:t>
            </w:r>
            <w:r w:rsidR="00810B0E">
              <w:rPr>
                <w:rFonts w:ascii="Century Gothic" w:hAnsi="Century Gothic" w:cstheme="minorHAnsi"/>
                <w:sz w:val="16"/>
                <w:szCs w:val="19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3744D6" w14:textId="2B330D53" w:rsidR="00E02328" w:rsidRPr="00304130" w:rsidRDefault="008D0BD0" w:rsidP="00304130">
            <w:pPr>
              <w:jc w:val="center"/>
              <w:rPr>
                <w:rFonts w:ascii="Century Gothic" w:hAnsi="Century Gothic" w:cstheme="minorHAnsi"/>
                <w:sz w:val="17"/>
                <w:szCs w:val="19"/>
              </w:rPr>
            </w:pPr>
            <w:r>
              <w:rPr>
                <w:rFonts w:ascii="Century Gothic" w:hAnsi="Century Gothic" w:cstheme="minorHAnsi"/>
                <w:sz w:val="17"/>
                <w:szCs w:val="19"/>
              </w:rPr>
              <w:t>Transferable skills, career pathways, options, vocational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98646B" w14:textId="4BEEF4D3" w:rsidR="00C125A0" w:rsidRPr="00242608" w:rsidRDefault="00C125A0" w:rsidP="00242608">
            <w:pPr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</w:tr>
      <w:tr w:rsidR="00E02328" w:rsidRPr="00E550EA" w14:paraId="10282772" w14:textId="77777777" w:rsidTr="001C0EDE">
        <w:trPr>
          <w:trHeight w:val="1884"/>
        </w:trPr>
        <w:tc>
          <w:tcPr>
            <w:tcW w:w="713" w:type="dxa"/>
            <w:vMerge/>
            <w:shd w:val="clear" w:color="auto" w:fill="000000" w:themeFill="text1"/>
          </w:tcPr>
          <w:p w14:paraId="7317BF0B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top w:val="double" w:sz="4" w:space="0" w:color="auto"/>
            </w:tcBorders>
            <w:shd w:val="clear" w:color="auto" w:fill="2AB5C4"/>
            <w:vAlign w:val="center"/>
          </w:tcPr>
          <w:p w14:paraId="7108ECB9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HT4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7E6E6C6A" w14:textId="28DF6E81" w:rsidR="00E02328" w:rsidRPr="00E550EA" w:rsidRDefault="004B04B6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My Family and I </w:t>
            </w:r>
          </w:p>
        </w:tc>
        <w:tc>
          <w:tcPr>
            <w:tcW w:w="7652" w:type="dxa"/>
            <w:gridSpan w:val="2"/>
            <w:tcBorders>
              <w:top w:val="double" w:sz="4" w:space="0" w:color="auto"/>
            </w:tcBorders>
            <w:vAlign w:val="center"/>
          </w:tcPr>
          <w:p w14:paraId="2F0DA33B" w14:textId="287EF654" w:rsidR="00E83A95" w:rsidRDefault="00EA0161" w:rsidP="00EA016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Changing relationships – </w:t>
            </w:r>
            <w:r w:rsidRPr="00EA0161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>mechanisms to manage grief in terms of separation, divorce and bereavement –</w:t>
            </w:r>
            <w:r>
              <w:rPr>
                <w:rFonts w:ascii="Century Gothic" w:hAnsi="Century Gothic" w:cstheme="minorHAnsi"/>
                <w:sz w:val="16"/>
                <w:szCs w:val="19"/>
              </w:rPr>
              <w:t xml:space="preserve"> </w:t>
            </w:r>
            <w:r w:rsidRPr="00EA0161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 xml:space="preserve">distorted relationships e.g. drinking, finance and mental health </w:t>
            </w:r>
          </w:p>
          <w:p w14:paraId="22063B92" w14:textId="77777777" w:rsidR="00EA0161" w:rsidRPr="00EA0161" w:rsidRDefault="00EA0161" w:rsidP="00EA016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Marriage and other </w:t>
            </w:r>
            <w:proofErr w:type="gramStart"/>
            <w:r>
              <w:rPr>
                <w:rFonts w:ascii="Century Gothic" w:hAnsi="Century Gothic" w:cstheme="minorHAnsi"/>
                <w:sz w:val="16"/>
                <w:szCs w:val="19"/>
              </w:rPr>
              <w:t>long term</w:t>
            </w:r>
            <w:proofErr w:type="gramEnd"/>
            <w:r>
              <w:rPr>
                <w:rFonts w:ascii="Century Gothic" w:hAnsi="Century Gothic" w:cstheme="minorHAnsi"/>
                <w:sz w:val="16"/>
                <w:szCs w:val="19"/>
              </w:rPr>
              <w:t xml:space="preserve"> relationships </w:t>
            </w:r>
            <w:r w:rsidRPr="00BD00CC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– the importance of stable committed relationships – </w:t>
            </w:r>
            <w:r w:rsidRPr="00EA0161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local, national and international context of marriage</w:t>
            </w:r>
          </w:p>
          <w:p w14:paraId="68BBD0E9" w14:textId="77777777" w:rsidR="00EA0161" w:rsidRPr="00EA0161" w:rsidRDefault="00EA0161" w:rsidP="00EA016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Laws around marriage and forced marriage – </w:t>
            </w:r>
            <w:r w:rsidRPr="00EA0161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legal and ethical responsibilities online </w:t>
            </w:r>
            <w:r>
              <w:rPr>
                <w:rFonts w:ascii="Century Gothic" w:hAnsi="Century Gothic" w:cstheme="minorHAnsi"/>
                <w:sz w:val="16"/>
                <w:szCs w:val="19"/>
              </w:rPr>
              <w:t xml:space="preserve">– </w:t>
            </w:r>
            <w:r w:rsidRPr="00EA0161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marriage scams</w:t>
            </w:r>
          </w:p>
          <w:p w14:paraId="6F3CA26D" w14:textId="37D03A26" w:rsidR="00EA0161" w:rsidRPr="00153677" w:rsidRDefault="00EA0161" w:rsidP="00EA016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Honour based violence – </w:t>
            </w:r>
            <w:r w:rsidRPr="00EA0161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revisiting HBV with a particular focus on emotional pressure </w:t>
            </w:r>
            <w:r>
              <w:rPr>
                <w:rFonts w:ascii="Century Gothic" w:hAnsi="Century Gothic" w:cstheme="minorHAnsi"/>
                <w:sz w:val="16"/>
                <w:szCs w:val="19"/>
              </w:rPr>
              <w:t xml:space="preserve">– </w:t>
            </w:r>
            <w:r w:rsidRPr="00EA0161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Physical chastisement, murder</w:t>
            </w:r>
          </w:p>
          <w:p w14:paraId="4A539208" w14:textId="4296C554" w:rsidR="00153677" w:rsidRDefault="00153677" w:rsidP="00EA016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 w:cstheme="minorHAnsi"/>
                <w:color w:val="0070C0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Gang based violence – </w:t>
            </w:r>
            <w:r w:rsidRPr="00153677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factors that contribute to young people joining gangs </w:t>
            </w:r>
            <w:r w:rsidRPr="00153677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– friend carrying a knife and the pressure to carry a weapon.</w:t>
            </w:r>
          </w:p>
          <w:p w14:paraId="2D1CF6B7" w14:textId="28D0C946" w:rsidR="00153677" w:rsidRPr="00153677" w:rsidRDefault="00153677" w:rsidP="00EA016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 w:cstheme="minorHAnsi"/>
                <w:color w:val="0070C0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 xml:space="preserve">Drug possession and County Lines – </w:t>
            </w:r>
            <w:r w:rsidRPr="00153677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>evaluation of the dangers of illegal substances</w:t>
            </w:r>
            <w:r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 xml:space="preserve"> - Being asked to carry edibles for a friend.</w:t>
            </w:r>
          </w:p>
          <w:p w14:paraId="59900E1B" w14:textId="7C5FD4D8" w:rsidR="00153677" w:rsidRPr="00153677" w:rsidRDefault="00153677" w:rsidP="00153677">
            <w:pPr>
              <w:rPr>
                <w:rFonts w:ascii="Century Gothic" w:hAnsi="Century Gothic" w:cstheme="minorHAnsi"/>
                <w:sz w:val="16"/>
                <w:szCs w:val="19"/>
              </w:rPr>
            </w:pPr>
          </w:p>
        </w:tc>
        <w:tc>
          <w:tcPr>
            <w:tcW w:w="2408" w:type="dxa"/>
            <w:gridSpan w:val="2"/>
            <w:tcBorders>
              <w:top w:val="double" w:sz="4" w:space="0" w:color="auto"/>
            </w:tcBorders>
            <w:vAlign w:val="center"/>
          </w:tcPr>
          <w:p w14:paraId="50AB474C" w14:textId="77777777" w:rsidR="00907D91" w:rsidRDefault="00907D91" w:rsidP="00304130">
            <w:pPr>
              <w:jc w:val="center"/>
              <w:rPr>
                <w:rFonts w:ascii="Century Gothic" w:hAnsi="Century Gothic" w:cstheme="minorHAnsi"/>
                <w:sz w:val="17"/>
                <w:szCs w:val="19"/>
              </w:rPr>
            </w:pPr>
          </w:p>
          <w:p w14:paraId="2B81744D" w14:textId="42CCE4E4" w:rsidR="00E02328" w:rsidRPr="008D0BD0" w:rsidRDefault="008D0BD0" w:rsidP="0030413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Cohabitation,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c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onceive,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b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ereavement,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a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buse,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i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ntimacy,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u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nregistered marriage, </w:t>
            </w:r>
            <w:r w:rsidR="00BD00CC">
              <w:rPr>
                <w:rFonts w:ascii="Century Gothic" w:hAnsi="Century Gothic"/>
                <w:color w:val="000000"/>
                <w:sz w:val="16"/>
                <w:szCs w:val="16"/>
              </w:rPr>
              <w:t>di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vorce and dissolution, </w:t>
            </w:r>
            <w:r w:rsidR="00E85B68">
              <w:rPr>
                <w:rFonts w:ascii="Century Gothic" w:hAnsi="Century Gothic"/>
                <w:color w:val="000000"/>
                <w:sz w:val="16"/>
                <w:szCs w:val="16"/>
              </w:rPr>
              <w:t>a</w:t>
            </w:r>
            <w:r w:rsidR="00E85B68" w:rsidRPr="008D0BD0">
              <w:rPr>
                <w:rFonts w:ascii="Century Gothic" w:hAnsi="Century Gothic"/>
                <w:color w:val="000000"/>
                <w:sz w:val="16"/>
                <w:szCs w:val="16"/>
              </w:rPr>
              <w:t>ssault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0679F7E8" w14:textId="52C2D840" w:rsidR="00E02328" w:rsidRPr="00C125A0" w:rsidRDefault="00E02328" w:rsidP="00242608">
            <w:pPr>
              <w:pStyle w:val="ListParagraph"/>
              <w:ind w:left="360"/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</w:tr>
      <w:tr w:rsidR="00E02328" w:rsidRPr="00E550EA" w14:paraId="42F11F2E" w14:textId="77777777" w:rsidTr="008129FE">
        <w:tc>
          <w:tcPr>
            <w:tcW w:w="713" w:type="dxa"/>
            <w:vMerge/>
            <w:shd w:val="clear" w:color="auto" w:fill="000000" w:themeFill="text1"/>
          </w:tcPr>
          <w:p w14:paraId="34888221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top w:val="double" w:sz="4" w:space="0" w:color="auto"/>
            </w:tcBorders>
            <w:shd w:val="clear" w:color="auto" w:fill="00B0F0"/>
            <w:vAlign w:val="center"/>
          </w:tcPr>
          <w:p w14:paraId="73F4F3B1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HT5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1735C6FD" w14:textId="237FEBBB" w:rsidR="00E07B1F" w:rsidRPr="00E550EA" w:rsidRDefault="008129FE" w:rsidP="00541AF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World Around Me</w:t>
            </w:r>
            <w:r w:rsidR="008D0BD0">
              <w:rPr>
                <w:rFonts w:ascii="Century Gothic" w:hAnsi="Century Gothic"/>
                <w:sz w:val="19"/>
                <w:szCs w:val="19"/>
              </w:rPr>
              <w:t xml:space="preserve">: </w:t>
            </w:r>
            <w:r w:rsidR="009B1459">
              <w:rPr>
                <w:rFonts w:ascii="Century Gothic" w:hAnsi="Century Gothic"/>
                <w:sz w:val="19"/>
                <w:szCs w:val="19"/>
              </w:rPr>
              <w:t>Wider Political Systems</w:t>
            </w:r>
            <w:bookmarkStart w:id="0" w:name="_GoBack"/>
            <w:bookmarkEnd w:id="0"/>
          </w:p>
        </w:tc>
        <w:tc>
          <w:tcPr>
            <w:tcW w:w="7652" w:type="dxa"/>
            <w:gridSpan w:val="2"/>
            <w:tcBorders>
              <w:top w:val="double" w:sz="4" w:space="0" w:color="auto"/>
            </w:tcBorders>
            <w:vAlign w:val="center"/>
          </w:tcPr>
          <w:p w14:paraId="4BB02569" w14:textId="468760C3" w:rsidR="008129FE" w:rsidRDefault="00EA0161" w:rsidP="0030413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>Parliamentary democracy and the key elements of the constitution in the United Kingdom</w:t>
            </w:r>
          </w:p>
          <w:p w14:paraId="32CBB3E7" w14:textId="77777777" w:rsidR="00EA0161" w:rsidRDefault="00EA0161" w:rsidP="0030413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>Different electoral systems and actions citizens can take</w:t>
            </w:r>
          </w:p>
          <w:p w14:paraId="31033492" w14:textId="4FF88452" w:rsidR="00EA0161" w:rsidRPr="00071373" w:rsidRDefault="00EA0161" w:rsidP="0030413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>Other non-democratic and democratic forms of government in the United Kingdom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</w:tcBorders>
            <w:vAlign w:val="center"/>
          </w:tcPr>
          <w:p w14:paraId="6EEBAEDC" w14:textId="09390D99" w:rsidR="00E02328" w:rsidRPr="00304130" w:rsidRDefault="008D0BD0" w:rsidP="00304130">
            <w:pPr>
              <w:jc w:val="center"/>
              <w:rPr>
                <w:rFonts w:ascii="Century Gothic" w:hAnsi="Century Gothic" w:cstheme="minorHAnsi"/>
                <w:sz w:val="17"/>
                <w:szCs w:val="19"/>
              </w:rPr>
            </w:pPr>
            <w:r>
              <w:rPr>
                <w:rFonts w:ascii="Century Gothic" w:hAnsi="Century Gothic" w:cstheme="minorHAnsi"/>
                <w:sz w:val="17"/>
                <w:szCs w:val="19"/>
              </w:rPr>
              <w:t>Democracy, Parliament, electoral, citizen, non-democratic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63049C68" w14:textId="12E05FDA" w:rsidR="00E02328" w:rsidRPr="00242608" w:rsidRDefault="00E02328" w:rsidP="00242608">
            <w:pPr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</w:tr>
      <w:tr w:rsidR="008129FE" w:rsidRPr="00E550EA" w14:paraId="2C8218BB" w14:textId="77777777" w:rsidTr="00541AF5">
        <w:tc>
          <w:tcPr>
            <w:tcW w:w="713" w:type="dxa"/>
            <w:vMerge/>
            <w:shd w:val="clear" w:color="auto" w:fill="000000" w:themeFill="text1"/>
          </w:tcPr>
          <w:p w14:paraId="08020237" w14:textId="77777777" w:rsidR="008129FE" w:rsidRPr="00E550EA" w:rsidRDefault="008129FE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top w:val="double" w:sz="4" w:space="0" w:color="auto"/>
            </w:tcBorders>
            <w:shd w:val="clear" w:color="auto" w:fill="00B0F0"/>
            <w:vAlign w:val="center"/>
          </w:tcPr>
          <w:p w14:paraId="501BB9EB" w14:textId="3F0BA391" w:rsidR="008129FE" w:rsidRPr="00E550EA" w:rsidRDefault="008129FE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HT5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03E6C063" w14:textId="77777777" w:rsidR="00541AF5" w:rsidRDefault="00541AF5" w:rsidP="00541AF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World Around Me:</w:t>
            </w:r>
          </w:p>
          <w:p w14:paraId="466F3ED7" w14:textId="77777777" w:rsidR="00541AF5" w:rsidRDefault="00541AF5" w:rsidP="00541AF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Sourcing Finance</w:t>
            </w:r>
          </w:p>
          <w:p w14:paraId="58637E45" w14:textId="77777777" w:rsidR="008129FE" w:rsidRDefault="008129FE" w:rsidP="008129F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  <w:p w14:paraId="52B84037" w14:textId="086651F9" w:rsidR="008129FE" w:rsidRDefault="008129FE" w:rsidP="008129F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652" w:type="dxa"/>
            <w:gridSpan w:val="2"/>
            <w:tcBorders>
              <w:top w:val="double" w:sz="4" w:space="0" w:color="auto"/>
            </w:tcBorders>
            <w:vAlign w:val="center"/>
          </w:tcPr>
          <w:p w14:paraId="722F24AD" w14:textId="77777777" w:rsidR="00FE783B" w:rsidRDefault="00FE783B" w:rsidP="00181AED">
            <w:pPr>
              <w:rPr>
                <w:rFonts w:ascii="Century Gothic" w:hAnsi="Century Gothic" w:cstheme="minorHAnsi"/>
                <w:sz w:val="16"/>
                <w:szCs w:val="19"/>
              </w:rPr>
            </w:pPr>
          </w:p>
          <w:p w14:paraId="0CB966EC" w14:textId="77777777" w:rsidR="00181AED" w:rsidRDefault="00181AED" w:rsidP="00181AED">
            <w:pPr>
              <w:rPr>
                <w:rFonts w:ascii="Century Gothic" w:hAnsi="Century Gothic" w:cstheme="minorHAnsi"/>
                <w:sz w:val="16"/>
                <w:szCs w:val="19"/>
              </w:rPr>
            </w:pPr>
          </w:p>
          <w:p w14:paraId="5484644A" w14:textId="77777777" w:rsidR="00541AF5" w:rsidRDefault="00541AF5" w:rsidP="00541AF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>
              <w:rPr>
                <w:rFonts w:ascii="Century Gothic" w:hAnsi="Century Gothic" w:cstheme="minorHAnsi"/>
                <w:sz w:val="17"/>
                <w:szCs w:val="19"/>
              </w:rPr>
              <w:t xml:space="preserve">Types of debit cards, their uses and associated rules </w:t>
            </w:r>
          </w:p>
          <w:p w14:paraId="76084911" w14:textId="77777777" w:rsidR="00541AF5" w:rsidRDefault="00541AF5" w:rsidP="00541AF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>
              <w:rPr>
                <w:rFonts w:ascii="Century Gothic" w:hAnsi="Century Gothic" w:cstheme="minorHAnsi"/>
                <w:sz w:val="17"/>
                <w:szCs w:val="19"/>
              </w:rPr>
              <w:t>Earnings – average salaries and pay slips</w:t>
            </w:r>
          </w:p>
          <w:p w14:paraId="36E7F761" w14:textId="77777777" w:rsidR="00541AF5" w:rsidRDefault="00541AF5" w:rsidP="00541AF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>
              <w:rPr>
                <w:rFonts w:ascii="Century Gothic" w:hAnsi="Century Gothic" w:cstheme="minorHAnsi"/>
                <w:sz w:val="17"/>
                <w:szCs w:val="19"/>
              </w:rPr>
              <w:t xml:space="preserve">Hire purchasing vs leasing </w:t>
            </w:r>
          </w:p>
          <w:p w14:paraId="7C0A14C8" w14:textId="77777777" w:rsidR="00541AF5" w:rsidRDefault="00541AF5" w:rsidP="00541AF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>
              <w:rPr>
                <w:rFonts w:ascii="Century Gothic" w:hAnsi="Century Gothic" w:cstheme="minorHAnsi"/>
                <w:sz w:val="17"/>
                <w:szCs w:val="19"/>
              </w:rPr>
              <w:t xml:space="preserve">Store cards </w:t>
            </w:r>
          </w:p>
          <w:p w14:paraId="29CC46FA" w14:textId="77777777" w:rsidR="00541AF5" w:rsidRDefault="00541AF5" w:rsidP="00541AF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>
              <w:rPr>
                <w:rFonts w:ascii="Century Gothic" w:hAnsi="Century Gothic" w:cstheme="minorHAnsi"/>
                <w:sz w:val="17"/>
                <w:szCs w:val="19"/>
              </w:rPr>
              <w:t xml:space="preserve">Credit cards, their uses and associated rules </w:t>
            </w:r>
          </w:p>
          <w:p w14:paraId="1837B20A" w14:textId="77777777" w:rsidR="00181AED" w:rsidRDefault="00181AED" w:rsidP="00181AED">
            <w:pPr>
              <w:rPr>
                <w:rFonts w:ascii="Century Gothic" w:hAnsi="Century Gothic" w:cstheme="minorHAnsi"/>
                <w:sz w:val="16"/>
                <w:szCs w:val="19"/>
              </w:rPr>
            </w:pPr>
          </w:p>
          <w:p w14:paraId="7BFBA0D0" w14:textId="77777777" w:rsidR="00181AED" w:rsidRDefault="00181AED" w:rsidP="00181AED">
            <w:pPr>
              <w:rPr>
                <w:rFonts w:ascii="Century Gothic" w:hAnsi="Century Gothic" w:cstheme="minorHAnsi"/>
                <w:sz w:val="16"/>
                <w:szCs w:val="19"/>
              </w:rPr>
            </w:pPr>
          </w:p>
          <w:p w14:paraId="06459028" w14:textId="77777777" w:rsidR="00181AED" w:rsidRDefault="00181AED" w:rsidP="00181AED">
            <w:pPr>
              <w:rPr>
                <w:rFonts w:ascii="Century Gothic" w:hAnsi="Century Gothic" w:cstheme="minorHAnsi"/>
                <w:sz w:val="16"/>
                <w:szCs w:val="19"/>
              </w:rPr>
            </w:pPr>
          </w:p>
          <w:p w14:paraId="018461A4" w14:textId="7F554BB0" w:rsidR="00181AED" w:rsidRPr="00181AED" w:rsidRDefault="00181AED" w:rsidP="00181AED">
            <w:pPr>
              <w:rPr>
                <w:rFonts w:ascii="Century Gothic" w:hAnsi="Century Gothic" w:cstheme="minorHAnsi"/>
                <w:sz w:val="16"/>
                <w:szCs w:val="19"/>
              </w:rPr>
            </w:pPr>
          </w:p>
        </w:tc>
        <w:tc>
          <w:tcPr>
            <w:tcW w:w="2408" w:type="dxa"/>
            <w:gridSpan w:val="2"/>
            <w:tcBorders>
              <w:top w:val="double" w:sz="4" w:space="0" w:color="auto"/>
            </w:tcBorders>
            <w:vAlign w:val="center"/>
          </w:tcPr>
          <w:p w14:paraId="2BE7B48C" w14:textId="77777777" w:rsidR="00181AED" w:rsidRDefault="00181AED" w:rsidP="0030413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132B744" w14:textId="77777777" w:rsidR="00181AED" w:rsidRDefault="00181AED" w:rsidP="0030413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EA27405" w14:textId="4B6A5897" w:rsidR="00181AED" w:rsidRPr="008D0BD0" w:rsidRDefault="00541AF5" w:rsidP="00304130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7"/>
                <w:szCs w:val="19"/>
              </w:rPr>
              <w:t>Debit card, earnings, hire purchase, store cards, credit cards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4949BA6F" w14:textId="77777777" w:rsidR="008129FE" w:rsidRDefault="008129FE" w:rsidP="00242608">
            <w:pPr>
              <w:pStyle w:val="ListParagraph"/>
              <w:ind w:left="360"/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</w:tr>
      <w:tr w:rsidR="00E02328" w:rsidRPr="00E550EA" w14:paraId="4D9EE70E" w14:textId="77777777" w:rsidTr="00242608">
        <w:trPr>
          <w:trHeight w:val="233"/>
        </w:trPr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000000" w:themeFill="text1"/>
          </w:tcPr>
          <w:p w14:paraId="596E8606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top w:val="double" w:sz="4" w:space="0" w:color="auto"/>
            </w:tcBorders>
            <w:shd w:val="clear" w:color="auto" w:fill="00B0F0"/>
            <w:vAlign w:val="center"/>
          </w:tcPr>
          <w:p w14:paraId="00187C8F" w14:textId="77777777" w:rsidR="00E02328" w:rsidRPr="00E550EA" w:rsidRDefault="00E02328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HT6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3DA89C" w14:textId="77777777" w:rsidR="00242608" w:rsidRDefault="00242608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  <w:p w14:paraId="4F5E6FE6" w14:textId="029519BD" w:rsidR="00153677" w:rsidRDefault="00541AF5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Keeping Myself and Others Safe – Online and Media </w:t>
            </w:r>
          </w:p>
          <w:p w14:paraId="2D090B7A" w14:textId="77777777" w:rsidR="00541AF5" w:rsidRDefault="00541AF5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  <w:p w14:paraId="466F2E66" w14:textId="0F2210D3" w:rsidR="00153677" w:rsidRPr="00E550EA" w:rsidRDefault="00153677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Completed in tutor set</w:t>
            </w:r>
          </w:p>
        </w:tc>
        <w:tc>
          <w:tcPr>
            <w:tcW w:w="7652" w:type="dxa"/>
            <w:gridSpan w:val="2"/>
            <w:tcBorders>
              <w:top w:val="double" w:sz="4" w:space="0" w:color="auto"/>
            </w:tcBorders>
            <w:vAlign w:val="center"/>
          </w:tcPr>
          <w:p w14:paraId="1A699BC0" w14:textId="77777777" w:rsidR="00541AF5" w:rsidRPr="00EA0161" w:rsidRDefault="00541AF5" w:rsidP="00541AF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Online laws on sexually explicit </w:t>
            </w:r>
            <w:proofErr w:type="gramStart"/>
            <w:r>
              <w:rPr>
                <w:rFonts w:ascii="Century Gothic" w:hAnsi="Century Gothic" w:cstheme="minorHAnsi"/>
                <w:sz w:val="16"/>
                <w:szCs w:val="19"/>
              </w:rPr>
              <w:t xml:space="preserve">material  </w:t>
            </w:r>
            <w:r w:rsidRPr="00496084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>–</w:t>
            </w:r>
            <w:proofErr w:type="gramEnd"/>
            <w:r w:rsidRPr="00496084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 Revisiting the key characteristics</w:t>
            </w:r>
            <w:r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 and the impact of sharing sexual images without consent </w:t>
            </w:r>
            <w:r w:rsidRPr="00496084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 –</w:t>
            </w:r>
            <w:r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 xml:space="preserve"> revenge pornography </w:t>
            </w:r>
          </w:p>
          <w:p w14:paraId="6088CC1F" w14:textId="77777777" w:rsidR="00541AF5" w:rsidRPr="00FE783B" w:rsidRDefault="00541AF5" w:rsidP="00541AF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9"/>
              </w:rPr>
            </w:pPr>
            <w:r>
              <w:rPr>
                <w:rFonts w:ascii="Century Gothic" w:hAnsi="Century Gothic" w:cstheme="minorHAnsi"/>
                <w:sz w:val="16"/>
                <w:szCs w:val="19"/>
              </w:rPr>
              <w:t xml:space="preserve">Fake news and Big Data – </w:t>
            </w:r>
            <w:r w:rsidRPr="00381DEC">
              <w:rPr>
                <w:rFonts w:ascii="Century Gothic" w:hAnsi="Century Gothic" w:cstheme="minorHAnsi"/>
                <w:color w:val="FF0000"/>
                <w:sz w:val="16"/>
                <w:szCs w:val="19"/>
              </w:rPr>
              <w:t xml:space="preserve">exploring fake news </w:t>
            </w:r>
            <w:r>
              <w:rPr>
                <w:rFonts w:ascii="Century Gothic" w:hAnsi="Century Gothic" w:cstheme="minorHAnsi"/>
                <w:sz w:val="16"/>
                <w:szCs w:val="19"/>
              </w:rPr>
              <w:t xml:space="preserve">– </w:t>
            </w:r>
            <w:r w:rsidRPr="00381DEC"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>identifying fake news</w:t>
            </w:r>
            <w:r>
              <w:rPr>
                <w:rFonts w:ascii="Century Gothic" w:hAnsi="Century Gothic" w:cstheme="minorHAnsi"/>
                <w:color w:val="0070C0"/>
                <w:sz w:val="16"/>
                <w:szCs w:val="19"/>
              </w:rPr>
              <w:t xml:space="preserve"> and disinformation</w:t>
            </w:r>
          </w:p>
          <w:p w14:paraId="7FB70F82" w14:textId="77777777" w:rsidR="00181AED" w:rsidRDefault="00181AED" w:rsidP="00181AED">
            <w:pPr>
              <w:rPr>
                <w:rFonts w:ascii="Century Gothic" w:hAnsi="Century Gothic" w:cstheme="minorHAnsi"/>
                <w:sz w:val="17"/>
                <w:szCs w:val="19"/>
              </w:rPr>
            </w:pPr>
          </w:p>
          <w:p w14:paraId="670AD77F" w14:textId="77777777" w:rsidR="00181AED" w:rsidRDefault="00181AED" w:rsidP="00181AED">
            <w:pPr>
              <w:rPr>
                <w:rFonts w:ascii="Century Gothic" w:hAnsi="Century Gothic" w:cstheme="minorHAnsi"/>
                <w:sz w:val="17"/>
                <w:szCs w:val="19"/>
              </w:rPr>
            </w:pPr>
          </w:p>
          <w:p w14:paraId="34B97796" w14:textId="2CDAF58C" w:rsidR="00181AED" w:rsidRPr="00181AED" w:rsidRDefault="00181AED" w:rsidP="00181AED">
            <w:pPr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  <w:tc>
          <w:tcPr>
            <w:tcW w:w="2408" w:type="dxa"/>
            <w:gridSpan w:val="2"/>
            <w:tcBorders>
              <w:top w:val="double" w:sz="4" w:space="0" w:color="auto"/>
            </w:tcBorders>
            <w:vAlign w:val="center"/>
          </w:tcPr>
          <w:p w14:paraId="08A016BB" w14:textId="77777777" w:rsidR="00541AF5" w:rsidRDefault="00541AF5" w:rsidP="00541AF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Grooming,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h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arassment,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i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ndecent,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c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ensorship,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s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talking,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d</w:t>
            </w:r>
            <w:r w:rsidRPr="008D0BD0">
              <w:rPr>
                <w:rFonts w:ascii="Century Gothic" w:hAnsi="Century Gothic"/>
                <w:color w:val="000000"/>
                <w:sz w:val="16"/>
                <w:szCs w:val="16"/>
              </w:rPr>
              <w:t>istorted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, fake, disinformation </w:t>
            </w:r>
          </w:p>
          <w:p w14:paraId="3C348E55" w14:textId="49D56B0D" w:rsidR="006B1C01" w:rsidRPr="00DF1B21" w:rsidRDefault="006B1C01" w:rsidP="00907D91">
            <w:pPr>
              <w:jc w:val="center"/>
              <w:rPr>
                <w:rFonts w:ascii="Century Gothic" w:hAnsi="Century Gothic" w:cstheme="minorHAnsi"/>
                <w:color w:val="000000" w:themeColor="text1"/>
                <w:sz w:val="17"/>
                <w:szCs w:val="19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D799A" w14:textId="26378F3F" w:rsidR="009554B7" w:rsidRPr="00C125A0" w:rsidRDefault="009554B7" w:rsidP="00FE783B">
            <w:pPr>
              <w:pStyle w:val="ListParagraph"/>
              <w:ind w:left="360"/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</w:tr>
      <w:tr w:rsidR="00481CEF" w:rsidRPr="00E550EA" w14:paraId="49754EB3" w14:textId="77777777" w:rsidTr="00242608">
        <w:trPr>
          <w:gridAfter w:val="8"/>
          <w:wAfter w:w="15579" w:type="dxa"/>
          <w:trHeight w:val="233"/>
        </w:trPr>
        <w:tc>
          <w:tcPr>
            <w:tcW w:w="71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72E637" w14:textId="77777777" w:rsidR="00481CEF" w:rsidRPr="00E550EA" w:rsidRDefault="00481CEF" w:rsidP="0030413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  <w:tr w:rsidR="00E550EA" w:rsidRPr="00E550EA" w14:paraId="7BBA47D3" w14:textId="77777777" w:rsidTr="00304130"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2E351" w14:textId="77777777" w:rsidR="00E550EA" w:rsidRPr="00E550EA" w:rsidRDefault="00E550EA" w:rsidP="00304130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A79575" w14:textId="77777777" w:rsidR="00E550EA" w:rsidRPr="00E550EA" w:rsidRDefault="00E550EA" w:rsidP="00304130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</w:p>
        </w:tc>
        <w:tc>
          <w:tcPr>
            <w:tcW w:w="1487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F1D8D16" w14:textId="77777777" w:rsidR="00E550EA" w:rsidRPr="00E550EA" w:rsidRDefault="00E550EA" w:rsidP="00304130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</w:p>
        </w:tc>
      </w:tr>
      <w:tr w:rsidR="00304130" w:rsidRPr="00E550EA" w14:paraId="04FE581C" w14:textId="618D3AA1" w:rsidTr="00304130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4626AC1" w14:textId="77777777" w:rsidR="00304130" w:rsidRPr="00E550EA" w:rsidRDefault="00304130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vAlign w:val="center"/>
          </w:tcPr>
          <w:p w14:paraId="3EA646C1" w14:textId="77777777" w:rsidR="00304130" w:rsidRPr="00E550EA" w:rsidRDefault="00304130" w:rsidP="0030413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0BF52F63" w14:textId="77777777" w:rsidR="00304130" w:rsidRPr="00304130" w:rsidRDefault="00304130" w:rsidP="00304130">
            <w:pPr>
              <w:jc w:val="center"/>
              <w:rPr>
                <w:rFonts w:ascii="Century Gothic" w:hAnsi="Century Gothic"/>
                <w:b/>
                <w:sz w:val="17"/>
                <w:szCs w:val="19"/>
              </w:rPr>
            </w:pPr>
            <w:r w:rsidRPr="00304130">
              <w:rPr>
                <w:rFonts w:ascii="Century Gothic" w:hAnsi="Century Gothic"/>
                <w:b/>
                <w:sz w:val="17"/>
                <w:szCs w:val="19"/>
              </w:rPr>
              <w:t>Skill Development</w:t>
            </w:r>
          </w:p>
        </w:tc>
        <w:tc>
          <w:tcPr>
            <w:tcW w:w="4156" w:type="dxa"/>
            <w:tcBorders>
              <w:right w:val="single" w:sz="4" w:space="0" w:color="FFFFFF" w:themeColor="background1"/>
            </w:tcBorders>
          </w:tcPr>
          <w:p w14:paraId="6C448C89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Identifying thinking traps</w:t>
            </w:r>
          </w:p>
          <w:p w14:paraId="1CD05823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 xml:space="preserve">Resilience </w:t>
            </w:r>
          </w:p>
          <w:p w14:paraId="7FD1EDA2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 xml:space="preserve">Managing risk </w:t>
            </w:r>
          </w:p>
          <w:p w14:paraId="33966586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Identifying and accessing support</w:t>
            </w:r>
          </w:p>
          <w:p w14:paraId="4F979365" w14:textId="6699C1F6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Self-regulation</w:t>
            </w:r>
            <w:r w:rsidRPr="00304130">
              <w:rPr>
                <w:rFonts w:ascii="Century Gothic" w:hAnsi="Century Gothic" w:cstheme="minorHAnsi"/>
                <w:sz w:val="17"/>
                <w:szCs w:val="19"/>
              </w:rPr>
              <w:tab/>
            </w:r>
          </w:p>
        </w:tc>
        <w:tc>
          <w:tcPr>
            <w:tcW w:w="415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79B635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 xml:space="preserve">Clarifying own values </w:t>
            </w:r>
          </w:p>
          <w:p w14:paraId="62F153DF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Developing a healthy self-concept</w:t>
            </w:r>
          </w:p>
          <w:p w14:paraId="0A101F03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Building and maintaining healthy relationships</w:t>
            </w:r>
          </w:p>
          <w:p w14:paraId="35A930A7" w14:textId="7F58BB23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Decision making</w:t>
            </w:r>
          </w:p>
        </w:tc>
        <w:tc>
          <w:tcPr>
            <w:tcW w:w="4157" w:type="dxa"/>
            <w:gridSpan w:val="2"/>
            <w:tcBorders>
              <w:left w:val="single" w:sz="4" w:space="0" w:color="FFFFFF" w:themeColor="background1"/>
            </w:tcBorders>
          </w:tcPr>
          <w:p w14:paraId="02CE2245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Empathy and compassion</w:t>
            </w:r>
          </w:p>
          <w:p w14:paraId="1D8B503D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Respect for others</w:t>
            </w:r>
          </w:p>
          <w:p w14:paraId="271413F9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Valuing diversity</w:t>
            </w:r>
          </w:p>
          <w:p w14:paraId="7DB70E24" w14:textId="77777777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Assessing the validity and reliability of information</w:t>
            </w:r>
          </w:p>
          <w:p w14:paraId="6F21DFCF" w14:textId="488A53A0" w:rsidR="00304130" w:rsidRPr="00304130" w:rsidRDefault="00304130" w:rsidP="0030413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7"/>
                <w:szCs w:val="19"/>
              </w:rPr>
            </w:pPr>
            <w:r w:rsidRPr="00304130">
              <w:rPr>
                <w:rFonts w:ascii="Century Gothic" w:hAnsi="Century Gothic" w:cstheme="minorHAnsi"/>
                <w:sz w:val="17"/>
                <w:szCs w:val="19"/>
              </w:rPr>
              <w:t>Managing peer influence</w:t>
            </w:r>
          </w:p>
          <w:p w14:paraId="020F1420" w14:textId="33B2D854" w:rsidR="00304130" w:rsidRPr="00304130" w:rsidRDefault="00304130" w:rsidP="00304130">
            <w:pPr>
              <w:rPr>
                <w:rFonts w:ascii="Century Gothic" w:hAnsi="Century Gothic" w:cstheme="minorHAnsi"/>
                <w:sz w:val="17"/>
                <w:szCs w:val="19"/>
              </w:rPr>
            </w:pPr>
          </w:p>
        </w:tc>
      </w:tr>
    </w:tbl>
    <w:p w14:paraId="2C86CDD7" w14:textId="77777777" w:rsidR="00E76E81" w:rsidRPr="007B298F" w:rsidRDefault="00E76E81">
      <w:pPr>
        <w:rPr>
          <w:rFonts w:ascii="Century Gothic" w:hAnsi="Century Gothic"/>
        </w:rPr>
      </w:pPr>
    </w:p>
    <w:sectPr w:rsidR="00E76E81" w:rsidRPr="007B298F" w:rsidSect="007B29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E3A"/>
    <w:multiLevelType w:val="hybridMultilevel"/>
    <w:tmpl w:val="95348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E3826"/>
    <w:multiLevelType w:val="hybridMultilevel"/>
    <w:tmpl w:val="8D86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1C36"/>
    <w:multiLevelType w:val="hybridMultilevel"/>
    <w:tmpl w:val="BF803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90400"/>
    <w:multiLevelType w:val="hybridMultilevel"/>
    <w:tmpl w:val="5E042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42860"/>
    <w:multiLevelType w:val="hybridMultilevel"/>
    <w:tmpl w:val="3E36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2318"/>
    <w:multiLevelType w:val="hybridMultilevel"/>
    <w:tmpl w:val="0930B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6566"/>
    <w:multiLevelType w:val="hybridMultilevel"/>
    <w:tmpl w:val="89146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3D6E"/>
    <w:multiLevelType w:val="hybridMultilevel"/>
    <w:tmpl w:val="037E4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CB1AA2"/>
    <w:multiLevelType w:val="hybridMultilevel"/>
    <w:tmpl w:val="CA90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A50C73"/>
    <w:multiLevelType w:val="hybridMultilevel"/>
    <w:tmpl w:val="941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A50BB"/>
    <w:multiLevelType w:val="hybridMultilevel"/>
    <w:tmpl w:val="DC7C0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9F9"/>
    <w:multiLevelType w:val="hybridMultilevel"/>
    <w:tmpl w:val="761E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17AB5"/>
    <w:multiLevelType w:val="hybridMultilevel"/>
    <w:tmpl w:val="7F14B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27153"/>
    <w:multiLevelType w:val="hybridMultilevel"/>
    <w:tmpl w:val="5B24D922"/>
    <w:lvl w:ilvl="0" w:tplc="A530D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667C4A"/>
    <w:multiLevelType w:val="hybridMultilevel"/>
    <w:tmpl w:val="DC6A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5963C1"/>
    <w:multiLevelType w:val="hybridMultilevel"/>
    <w:tmpl w:val="60DA1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3941EB"/>
    <w:multiLevelType w:val="hybridMultilevel"/>
    <w:tmpl w:val="090A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5989"/>
    <w:multiLevelType w:val="hybridMultilevel"/>
    <w:tmpl w:val="548E5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133E61"/>
    <w:multiLevelType w:val="hybridMultilevel"/>
    <w:tmpl w:val="EC04D79C"/>
    <w:lvl w:ilvl="0" w:tplc="315AB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A4746C"/>
    <w:multiLevelType w:val="hybridMultilevel"/>
    <w:tmpl w:val="4956C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82248"/>
    <w:multiLevelType w:val="hybridMultilevel"/>
    <w:tmpl w:val="D7DC9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793C"/>
    <w:multiLevelType w:val="hybridMultilevel"/>
    <w:tmpl w:val="BD92229E"/>
    <w:lvl w:ilvl="0" w:tplc="89003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066278"/>
    <w:multiLevelType w:val="hybridMultilevel"/>
    <w:tmpl w:val="E1DC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51683"/>
    <w:multiLevelType w:val="hybridMultilevel"/>
    <w:tmpl w:val="6E7E6764"/>
    <w:lvl w:ilvl="0" w:tplc="FA9CF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C7557"/>
    <w:multiLevelType w:val="hybridMultilevel"/>
    <w:tmpl w:val="9F88C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9558E6"/>
    <w:multiLevelType w:val="hybridMultilevel"/>
    <w:tmpl w:val="7EDC6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18"/>
  </w:num>
  <w:num w:numId="5">
    <w:abstractNumId w:val="21"/>
  </w:num>
  <w:num w:numId="6">
    <w:abstractNumId w:val="12"/>
  </w:num>
  <w:num w:numId="7">
    <w:abstractNumId w:val="9"/>
  </w:num>
  <w:num w:numId="8">
    <w:abstractNumId w:val="14"/>
  </w:num>
  <w:num w:numId="9">
    <w:abstractNumId w:val="13"/>
  </w:num>
  <w:num w:numId="10">
    <w:abstractNumId w:val="7"/>
  </w:num>
  <w:num w:numId="11">
    <w:abstractNumId w:val="4"/>
  </w:num>
  <w:num w:numId="12">
    <w:abstractNumId w:val="22"/>
  </w:num>
  <w:num w:numId="13">
    <w:abstractNumId w:val="6"/>
  </w:num>
  <w:num w:numId="14">
    <w:abstractNumId w:val="1"/>
  </w:num>
  <w:num w:numId="15">
    <w:abstractNumId w:val="11"/>
  </w:num>
  <w:num w:numId="16">
    <w:abstractNumId w:val="24"/>
  </w:num>
  <w:num w:numId="17">
    <w:abstractNumId w:val="3"/>
  </w:num>
  <w:num w:numId="18">
    <w:abstractNumId w:val="8"/>
  </w:num>
  <w:num w:numId="19">
    <w:abstractNumId w:val="2"/>
  </w:num>
  <w:num w:numId="20">
    <w:abstractNumId w:val="0"/>
  </w:num>
  <w:num w:numId="21">
    <w:abstractNumId w:val="17"/>
  </w:num>
  <w:num w:numId="22">
    <w:abstractNumId w:val="16"/>
  </w:num>
  <w:num w:numId="23">
    <w:abstractNumId w:val="15"/>
  </w:num>
  <w:num w:numId="24">
    <w:abstractNumId w:val="20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8F"/>
    <w:rsid w:val="0001026E"/>
    <w:rsid w:val="00020C40"/>
    <w:rsid w:val="00071373"/>
    <w:rsid w:val="00081AEF"/>
    <w:rsid w:val="00093AE2"/>
    <w:rsid w:val="000F2C76"/>
    <w:rsid w:val="00103505"/>
    <w:rsid w:val="0010743A"/>
    <w:rsid w:val="00153677"/>
    <w:rsid w:val="00181AED"/>
    <w:rsid w:val="001A7FC7"/>
    <w:rsid w:val="001C0EDE"/>
    <w:rsid w:val="001E43D3"/>
    <w:rsid w:val="001F2587"/>
    <w:rsid w:val="00220F64"/>
    <w:rsid w:val="00242608"/>
    <w:rsid w:val="00247A9A"/>
    <w:rsid w:val="002A0084"/>
    <w:rsid w:val="002B11CC"/>
    <w:rsid w:val="002B1E70"/>
    <w:rsid w:val="002B31BD"/>
    <w:rsid w:val="002D2473"/>
    <w:rsid w:val="002E370D"/>
    <w:rsid w:val="00304130"/>
    <w:rsid w:val="00381DEC"/>
    <w:rsid w:val="003D1691"/>
    <w:rsid w:val="003E6B9C"/>
    <w:rsid w:val="00481CEF"/>
    <w:rsid w:val="00496084"/>
    <w:rsid w:val="004B04B6"/>
    <w:rsid w:val="004B2C4D"/>
    <w:rsid w:val="004E1547"/>
    <w:rsid w:val="00541AF5"/>
    <w:rsid w:val="005744CB"/>
    <w:rsid w:val="005D6A9B"/>
    <w:rsid w:val="0066606A"/>
    <w:rsid w:val="006B1C01"/>
    <w:rsid w:val="006D3205"/>
    <w:rsid w:val="00737255"/>
    <w:rsid w:val="0076226A"/>
    <w:rsid w:val="00780042"/>
    <w:rsid w:val="007A2A68"/>
    <w:rsid w:val="007B298F"/>
    <w:rsid w:val="00810B0E"/>
    <w:rsid w:val="008129FE"/>
    <w:rsid w:val="008D0BD0"/>
    <w:rsid w:val="008E763B"/>
    <w:rsid w:val="008F5C39"/>
    <w:rsid w:val="00907D91"/>
    <w:rsid w:val="00911F9A"/>
    <w:rsid w:val="009356E8"/>
    <w:rsid w:val="009443A4"/>
    <w:rsid w:val="00947452"/>
    <w:rsid w:val="009554B7"/>
    <w:rsid w:val="009B1459"/>
    <w:rsid w:val="009B1C72"/>
    <w:rsid w:val="009D4FA9"/>
    <w:rsid w:val="009D6626"/>
    <w:rsid w:val="00A07AF7"/>
    <w:rsid w:val="00A216B8"/>
    <w:rsid w:val="00A24BDA"/>
    <w:rsid w:val="00A515A9"/>
    <w:rsid w:val="00AE2496"/>
    <w:rsid w:val="00B40BB1"/>
    <w:rsid w:val="00B45199"/>
    <w:rsid w:val="00BB2892"/>
    <w:rsid w:val="00BB713B"/>
    <w:rsid w:val="00BD00CC"/>
    <w:rsid w:val="00BD6CB0"/>
    <w:rsid w:val="00BE2AB4"/>
    <w:rsid w:val="00C125A0"/>
    <w:rsid w:val="00C177CD"/>
    <w:rsid w:val="00C17AAB"/>
    <w:rsid w:val="00C556D4"/>
    <w:rsid w:val="00C63B0F"/>
    <w:rsid w:val="00C83183"/>
    <w:rsid w:val="00C87088"/>
    <w:rsid w:val="00CA5964"/>
    <w:rsid w:val="00CC1E7B"/>
    <w:rsid w:val="00CD2A48"/>
    <w:rsid w:val="00D05DAC"/>
    <w:rsid w:val="00D6793B"/>
    <w:rsid w:val="00D772D0"/>
    <w:rsid w:val="00D83B8F"/>
    <w:rsid w:val="00D93F73"/>
    <w:rsid w:val="00DC55A4"/>
    <w:rsid w:val="00DF1B21"/>
    <w:rsid w:val="00E0141A"/>
    <w:rsid w:val="00E02328"/>
    <w:rsid w:val="00E07B1F"/>
    <w:rsid w:val="00E550EA"/>
    <w:rsid w:val="00E76E81"/>
    <w:rsid w:val="00E83A95"/>
    <w:rsid w:val="00E85B68"/>
    <w:rsid w:val="00EA0161"/>
    <w:rsid w:val="00EF36C8"/>
    <w:rsid w:val="00F328B5"/>
    <w:rsid w:val="00F574EF"/>
    <w:rsid w:val="00F7435C"/>
    <w:rsid w:val="00FD2076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15B1"/>
  <w15:chartTrackingRefBased/>
  <w15:docId w15:val="{1923D60C-DB29-4953-A92C-8EA49262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98F"/>
    <w:pPr>
      <w:ind w:left="720"/>
      <w:contextualSpacing/>
    </w:pPr>
  </w:style>
  <w:style w:type="paragraph" w:styleId="NoSpacing">
    <w:name w:val="No Spacing"/>
    <w:uiPriority w:val="1"/>
    <w:qFormat/>
    <w:rsid w:val="00242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8" ma:contentTypeDescription="Create a new document." ma:contentTypeScope="" ma:versionID="607335ac41d0a52fbd547041a2d5815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954dd69116274a3b0fd7fd3a6d1b6c5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8735B-01D1-4803-BC1A-2BB1A8BBB42D}">
  <ds:schemaRefs>
    <ds:schemaRef ds:uri="1c929654-2473-4211-8ee6-a950627cc2eb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cbb70a0-51aa-4b9b-a53b-f039c9636d9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AF8831-D8A0-48D5-8D6F-1E6ECB32F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19DC6-A4AC-4E1C-BF80-5FE59843F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9654-2473-4211-8ee6-a950627cc2eb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Garner Staff 8914404</dc:creator>
  <cp:keywords/>
  <dc:description/>
  <cp:lastModifiedBy>V Davis Staff 8914404</cp:lastModifiedBy>
  <cp:revision>2</cp:revision>
  <cp:lastPrinted>2022-11-08T20:24:00Z</cp:lastPrinted>
  <dcterms:created xsi:type="dcterms:W3CDTF">2024-08-27T09:28:00Z</dcterms:created>
  <dcterms:modified xsi:type="dcterms:W3CDTF">2024-08-27T09:28:00Z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